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West Otago Health Limited - Ribbonwood Country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West Otago Health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Ribbonwood Country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June 2018</w:t>
      </w:r>
      <w:bookmarkEnd w:id="7"/>
      <w:r w:rsidRPr="009418D4">
        <w:rPr>
          <w:rFonts w:cs="Arial"/>
        </w:rPr>
        <w:tab/>
        <w:t xml:space="preserve">End date: </w:t>
      </w:r>
      <w:bookmarkStart w:id="8" w:name="AuditEndDate"/>
      <w:r w:rsidR="00A4268A">
        <w:rPr>
          <w:rFonts w:cs="Arial"/>
        </w:rPr>
        <w:t>14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Ribbonwood Country Home is part of West Otago Health Limited.  The service is certified to provide hospital services – geriatric and medical and rest home level care for up to 14 residents.  There were 14 residents on the day of audit. </w:t>
      </w:r>
    </w:p>
    <w:p w:rsidRPr="00A4268A">
      <w:pPr>
        <w:spacing w:before="240" w:line="276" w:lineRule="auto"/>
        <w:rPr>
          <w:rFonts w:eastAsia="Calibri"/>
        </w:rPr>
      </w:pPr>
      <w:r w:rsidRPr="00A4268A">
        <w:rPr>
          <w:rFonts w:eastAsia="Calibri"/>
        </w:rPr>
        <w:t xml:space="preserve">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general practitioner and staff.  </w:t>
      </w:r>
    </w:p>
    <w:p w:rsidRPr="00A4268A">
      <w:pPr>
        <w:spacing w:before="240" w:line="276" w:lineRule="auto"/>
        <w:rPr>
          <w:rFonts w:eastAsia="Calibri"/>
        </w:rPr>
      </w:pPr>
      <w:r w:rsidRPr="00A4268A">
        <w:rPr>
          <w:rFonts w:eastAsia="Calibri"/>
        </w:rPr>
        <w:t>A facility manager with support from the clinical manager, manages the service.  Family and residents interviewed all spoke very positively about the care and support provided.</w:t>
      </w:r>
    </w:p>
    <w:p w:rsidRPr="00A4268A">
      <w:pPr>
        <w:spacing w:before="240" w:line="276" w:lineRule="auto"/>
        <w:rPr>
          <w:rFonts w:eastAsia="Calibri"/>
        </w:rPr>
      </w:pPr>
      <w:r w:rsidRPr="00A4268A">
        <w:rPr>
          <w:rFonts w:eastAsia="Calibri"/>
        </w:rPr>
        <w:t xml:space="preserve">All three shortfalls identified at the previous audit have been addressed.  These were around timeliness of documentation, medication administration and preventative maintenance. </w:t>
      </w:r>
    </w:p>
    <w:p w:rsidRPr="00A4268A">
      <w:pPr>
        <w:spacing w:before="240" w:line="276" w:lineRule="auto"/>
        <w:rPr>
          <w:rFonts w:eastAsia="Calibri"/>
        </w:rPr>
      </w:pPr>
      <w:r w:rsidRPr="00A4268A">
        <w:rPr>
          <w:rFonts w:eastAsia="Calibri"/>
        </w:rPr>
        <w:t xml:space="preserve">The audit identified two improvements required around resident care documentation and self-medicating residents’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an implemented culture of open disclosure.  Residents and families interviewed reported they are kept well informed.  Complaints processes are implemented and managed in line with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Ribbonwood home is implementing a quality and risk management system that supports the provision of clinical care.  Quality activities are conducted, and corrective actions have been developed and implemented.  The service has a culture of health and safety.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care plan development with input from residents and family.  A review of a sample of resident files identified that assessments, interventions and evaluations reflected current care.</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Medication management policies and procedures are documented in line with legislation and current regulations.  Medication administration records demonstrate medications are administered as prescribed.  </w:t>
      </w:r>
    </w:p>
    <w:p w:rsidRPr="00A4268A" w:rsidP="00621629">
      <w:pPr>
        <w:spacing w:before="240" w:line="276" w:lineRule="auto"/>
        <w:rPr>
          <w:rFonts w:eastAsia="Calibri"/>
        </w:rPr>
      </w:pPr>
      <w:r w:rsidRPr="00A4268A">
        <w:rPr>
          <w:rFonts w:eastAsia="Calibri"/>
        </w:rPr>
        <w:t>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WOF and reactive and preventative maintenance is completed.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with enablers and one resident with restraint.  Training and audits have been completed.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facility manager is responsible for complaints management.  There was one complaint in 2017 and two in 2018 for the year-to-date.  Review of the three complaints demonstrated that they had been managed which meet the requirements of Code 10 of the Code of Rights.  Investigation of concerns/complaints are conducted, with input from the clinical manager for clinical and care issues.  Complaints forms are visible and available for relatives/residents.  A complaints procedure is provided to residents within the information pack at entry.  A complaints register is available.  Complaints are a standing agenda item at staff, residents’ and quality meetings.  Management operate an ‘open door’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facility manager and registered nurses interviewed confirmed that family are kept informed.  Relatives (three hospital) stated they are notified promptly of any incidents/accidents.  Each of the 12 incident forms reviewed documented that family had been informed of the incident.   Resident meetings encourage open discussion around the services provided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provides care for up to 14 rest home and hospital (geriatric and medical) level care residents.  On the day of audit, there were 14 residents - nine rest home (including one respite), and five hospital residents.  All permanent residents were under the aged related contract.  All rooms at Ribbonwood are dual-purpose (rest home or hospital).  The respite resident is funded by ACC.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attached to the West Otago Health services, which provides primary and community care.  A resident general practitioner (GP) provides medical care to the residents, and afterhours and on-call services are provided by the GP and PRIME trained registered nurses.  The service has access to a physiotherapist who works in the medical centre.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strategic plan and a business plan for 2018.  The business plan identifies the purpose, values and scope of the business.  The quality and risk management plan outline the quality goals, which are reviewed at the quality meeting.  A trust board governs the service.  The board meets six weekly and receives reports from the facility manager on all aspects of service delivery at Ribbonwood.  The GP and the clinical manager provide clinical oversight at Ribbonwood.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(RN) who was previously the clinical manager and the clinical manager (previously a senior RN at Ribbonwood) both began their roles in an acting capacity on 1 January 2018, and both positions became permanent on 1 June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at least eight hours of professional development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Ribbonwood is implementing a quality and risk management system.  The facility manager and the clinical manager oversee the quality programme.  The quality programme includes goals for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implemented provide assurance that the service is meeting accepted good practice and adhering to relevant standards - including those standards relating to the Health and Disability Services (Safety) Act 2001.  Staff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and quality activities conducted are reviewed via the three-monthly staff meetings and six-monthly quality meetings.  Meeting minutes sighted evidence discussion around accident/incident data, health and safety, infection control, audit outcomes, and complaints and concerns.  A resident survey undertaken in November 2017 had very positive results and a relative survey the same month had 100% satisfaction.  The service collates accident/incident and infection control data.  Meeting minutes, monthly data comparisons, trends and graphs are available for staff information.  Staff interviewed (two registered nurses, two caregivers and one activities coordinator) were aware of quality data results, trends and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covers all aspects of the service.  The outcomes of internal audits are discussed with staff at the various meetings.  Corrective actions have been developed and implemented for shortfalls in service identified.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health and safety programme in place including policies to guide practice.  There are designated health and safety staff representatives and external training was attended in March 2018.  Current hazard registers have been developed for all service areas and are easily located for staff.  Staff confirmed they are kept informed on health and safety matters at meetings.  There is a current emergency/business continuity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12 accident/incident forms were reviewed.  There had been timely clinical assessment of residents completed by a registered nurse apart from neuro observations (link 1.3.6.1).  Accidents/incidents were also recorded in the resident progress notes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the data to the quality meeting and staff meeting.  Staff interviewed confirmed incident and accident data are discussed at the various meetings and information and graphs are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confirmed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sampled contained all relevant employment documentation and included one clinical manager, one registered nurse, one caregiver, one activities coordinator and one chef.  Current practising certificates were sighted for registered nurses and allied health professionals.  The service has an orientation programme in place that provides new staff with relevant information for safe work practice.  Staff interviewed advised that they completed an orientation programme prior to working independently.  Employment documentation was evident in the sample of staff files reviewed.  Annual appraisals were current in all files sampled.</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planner in place for 2018 and is being implemented.  Staff complete competencies relevant to their role.  There are three interRAI trained 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works 30 hours per week (Monday to Friday) and is available on call for any emergency issues or clinical support.  There is one registered nurse and one caregiver on duty 24 hours per day.  In addition, there is an activities coordinator with eight hours dedicated to activities each week.  A staff availability list ensures that staff sickness and vacant shifts are covered.  The clinical manager rotates shifts on the roster and had worked night shift the night before the audit so was not present for the early part of the audit.  Caregivers and registered nurses interviewed confirmed that staff are replaced.  Staffing levels and skills mix policy is the documented rationale for determining staffing levels and skill mixes for safe service delivery.  Residents (two rest home and two hospital) and family interviewed also advised that there were sufficient staff rostered 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Medicines are appropriately stored in accordance with relevant guidelines and legislation.  Medication records reviewed evidenced that medication has been administered as prescribed.  This is an improvement since the previous audit.   Ten medication records were reviewed.  The registered nurses are responsible for the administration of medications.  Staff who administer medication have been assessed as competent.  The facility uses a blister pack medication management system for the packaging of all tablets.  The RN reconciles the delivery of the packs from the pharmacy and documents this.  Medication charts are documented electronically by the GP and there was evidence of three monthly reviews.  Medications reviewed were prescribed and charted in line with guidelines.  There were two residents self-administering and they did not have current competency assessments.  The secure treatment room includes a medication fridge.  The temperature of the fridge is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policies and procedures include the principles of food safety, ordering, storage, cooking, reheating and food handling.  The main chef works four days a week.  She is supported by two experienced cooks who alternate the chef’s days off.  They prepare and cook all meals on-site.  Both have completed food safety training.  The summer and winter menus have been reviewed by a dietitian.</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meals that meet their food, fluid and nutritional needs.  The registered nurses complete the dietary requirement forms on admission and if there are any changes, and provide a copy to the kitchen.  The service also provides additional or modified foods.</w:t>
            </w:r>
          </w:p>
          <w:p w:rsidR="00EB7645" w:rsidRPr="00BE00C7" w:rsidP="00BE00C7">
            <w:pPr>
              <w:pStyle w:val="OutcomeDescription"/>
              <w:spacing w:before="120" w:after="120"/>
              <w:rPr>
                <w:rFonts w:cs="Arial"/>
                <w:b w:val="0"/>
                <w:lang w:eastAsia="en-NZ"/>
              </w:rPr>
            </w:pPr>
            <w:r w:rsidRPr="00BE00C7">
              <w:rPr>
                <w:rFonts w:cs="Arial"/>
                <w:b w:val="0"/>
                <w:lang w:eastAsia="en-NZ"/>
              </w:rPr>
              <w:t>Chiller, freezer and food temperatures are monitored and recorded daily.  Cooked meals are plated from the kitchen directly to the dining room.  The residents confirmed that they are provided with alternative meals as per request.  All residents are weighed regularly.  Residents with weight loss are provided with food supplements.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spoke positively about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initiates a review and if required, a GP or nurse specialist consultation when a resident’s condition changes.  Care plans sampled addressed all residents’ needs and goals and caregivers reported they are easy to follow.  There is close registered nurse oversight with a registered nurse being on duty and undertaking clinical reviews 24 hours per day.  However, neurological observations are not always completed when required.  Relatives interviewed stated their relative’s needs are met and they are kept informed of any health changes.  There was documented evidence in the resident files of family notification of any changes to health, including infections, accidents/incidents, and medication changes.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Initial wound assessments with ongoing wound evaluations and treatment plans were in place for one resident with a skin tear and a respite resident admitted two days prior to the audit with an unstageable pressure injury.  The resident was admitted the day before the audit and the clinical manager was aware of the need to make a section 31 notification around this.  The wound is being reviewed and dressed daily by the district nurse wound specialist.  The resident has pressure relieving booties and is being nursed on a pressure mattress.  Wounds are re-assessed at least monthly.  Evaluation comments were documented at each dressing change to monitor the healing progress for both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restraint monitoring and oxygen monitoring (although inadequate), blood sugar levels, weight, wound evaluations, food and fluid intake.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also undertakes other roles in the service including caregiving.  Eight hours per week are dedicated to activities.  All staff incorporate activities on a daily basis as part of their caregiving/nursing roles.  A generic monthly plan is developed with resident favourites including (but not limited to) newspaper reading, housie, happy hour, outings, church services, quizzes.  Interviews with residents identified that activities provided were appropriate to the needs, age and culture of the residents.  The activities are physically and mentally stimulating.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and from this information an individual activity care plan is developed.  Implementation of the activities plan is evaluated monthly and attendance records are maintained.  Three of four activities plans sampled had been reviewed six monthly.  The respite resident did not require an activity plan and one resident had not been at the service for six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 evaluations were sighted in three of the five resident files reviewed.  One resident was on respite care and another had not been at the service for six months.  These have been completed on a regular basis rather than waiting for when the six-monthly review is due.  Evaluations document progress toward goals.  There is at least a three-monthly review by the GP.  The files reviewed included examples where changes in health status had been documented and followed up.  Short-term care plans reviewed had been evaluated and closed-out, or they were added to the long-term care plan where the problem was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building warrant of fitness that expires on 8 January 2019.  Records and interview with the maintenance person demonstrate that the preventative maintenance plan is being implemented.  This is an improvement since the previous audit.  The facility is purpose-built and provides a safe and appropriate internal and external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Surveillance data is available to all staff.  Corrective actions are established where trends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general practitioner.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and comprehensive restraint procedures.  Interviews with staff confirmed their understanding of restraints and enablers.  There were no residents with enablers and one resident with restraint bedrails at night.  Restraint minimisation training has been provided and audits are conducted.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74"/>
        <w:gridCol w:w="1280"/>
        <w:gridCol w:w="3082"/>
        <w:gridCol w:w="4533"/>
        <w:gridCol w:w="18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dedicated form to assess the competency of residents to self-medicate.  Competency assessments have been completed but not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residents that self-medicate have not had the competency assessment reviewed since June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self-medication competencies are reviewed regularly as dictated by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monitoring forms available for a variety of monitoring needs.  These have not been adequately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Neurological observations have not been documented following unwitnessed falls or a fall with a knock to the head.  (2) Monitoring forms for bedrail checks and oxygen monitoring (on and off) have not been consistently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Ensure monitoring forms for neurological observations are completed as required by policy.</w:t>
            </w:r>
          </w:p>
          <w:p w:rsidR="00EB7645" w:rsidRPr="00BE00C7" w:rsidP="00BE00C7">
            <w:pPr>
              <w:pStyle w:val="OutcomeDescription"/>
              <w:spacing w:before="120" w:after="120"/>
              <w:rPr>
                <w:rFonts w:cs="Arial"/>
                <w:b w:val="0"/>
                <w:lang w:eastAsia="en-NZ"/>
              </w:rPr>
            </w:pPr>
            <w:r w:rsidRPr="00BE00C7">
              <w:rPr>
                <w:rFonts w:cs="Arial"/>
                <w:b w:val="0"/>
                <w:lang w:eastAsia="en-NZ"/>
              </w:rPr>
              <w:t>(2) Ensure oxygen and bedrail monitoring is documented as per care plan documentation.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West Otago Health Limited - Ribbonwood Country Home</w:t>
    </w:r>
    <w:bookmarkEnd w:id="58"/>
    <w:r>
      <w:rPr>
        <w:rFonts w:cs="Arial"/>
        <w:sz w:val="16"/>
        <w:szCs w:val="20"/>
      </w:rPr>
      <w:tab/>
      <w:t xml:space="preserve">Date of Audit: </w:t>
    </w:r>
    <w:bookmarkStart w:id="59" w:name="AuditStartDate1"/>
    <w:r>
      <w:rPr>
        <w:rFonts w:cs="Arial"/>
        <w:sz w:val="16"/>
        <w:szCs w:val="20"/>
      </w:rPr>
      <w:t>13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