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John's Parish (Roslyn) Friends of the Aged and Needy Society - Leslie Grove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John's Parish (Roslyn) Friends of the Aged and Needy Society</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Leslie Grove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July 2018</w:t>
      </w:r>
      <w:bookmarkEnd w:id="7"/>
      <w:r w:rsidRPr="009418D4">
        <w:rPr>
          <w:rFonts w:cs="Arial"/>
        </w:rPr>
        <w:tab/>
        <w:t xml:space="preserve">End date: </w:t>
      </w:r>
      <w:bookmarkStart w:id="8" w:name="AuditEndDate"/>
      <w:r w:rsidR="00A4268A">
        <w:rPr>
          <w:rFonts w:cs="Arial"/>
        </w:rPr>
        <w:t>13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Leslie Groves home is operated by the St John's Parish (Roslyn) Friends of the Aged and Needy Society and cares for up to 34 residents requiring rest home level care.  On the day of the audit there were 30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residents, relatives and general practitioner spoke highly of the care and service provided at Leslie Groves Home.  The service has a well-established quality system that identifies ongoing quality improvement.</w:t>
      </w:r>
    </w:p>
    <w:p w:rsidRPr="00A4268A">
      <w:pPr>
        <w:spacing w:before="240" w:line="276" w:lineRule="auto"/>
        <w:rPr>
          <w:rFonts w:eastAsia="Calibri"/>
        </w:rPr>
      </w:pPr>
      <w:r w:rsidRPr="00A4268A">
        <w:rPr>
          <w:rFonts w:eastAsia="Calibri"/>
        </w:rPr>
        <w:t xml:space="preserve">Leslie Groves Rest Home is managed by an experienced clinical nurse manager who has worked at the service for over three years.  The clinical nurse manager reports to the chief executive (RN) at the sister facility.  The chief executive visits at least two days a week and reports monthly to the board (or more frequently if required).    </w:t>
      </w:r>
    </w:p>
    <w:p w:rsidRPr="00A4268A">
      <w:pPr>
        <w:spacing w:before="240" w:line="276" w:lineRule="auto"/>
        <w:rPr>
          <w:rFonts w:eastAsia="Calibri"/>
        </w:rPr>
      </w:pPr>
      <w:r w:rsidRPr="00A4268A">
        <w:rPr>
          <w:rFonts w:eastAsia="Calibri"/>
        </w:rPr>
        <w:t>The service has exceeded the standard around good practice in relation to falls reduction.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staff at Leslie Groves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discussed with residents (where able) and relatives and documented.  Staff interviewed were familiar with processes to ensure informed consent.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Quality management processes are reflected in the businesses plan’s, goals, objectives and policies.  Corrective actions are identified and implemented.  There is a current operations plan in place.  A risk management programme is in place, which includes incident and accident reporting and health and safety processes.  Staff document incidents and accidents.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information available for residents and relatives prior to entry to the service.  Residents are assessed prior to entry to the service.  Care plans are individually developed with the resident, and family/whānau involvement is included where appropriate and evaluated six monthly or more frequently when clinically indicated.  Risk assessment tools and monitoring forms are available to assess effectively the level of risk and support required for residents.  Activities are provided that are meaningful and ensure that the resident maintains involvement in the community.  Medication management policies and procedures meet current guidelines.  All staff who administer medications have completed annual competencies for medication administration.  There are three monthly GP medication reviews.  Food services are contracted to a food service company who work from the Leslie Groves hospital site kitchen and transport meals to the rest home.  The menu is designed by a dietitian with summer and winter menus.  Dietary requirements are provided where special needs are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Leslie Grove Rest Home has a current building warrant of fitness.  Reactive and preventative maintenance is carried out.  Medical equipment and electrical appliances have been calibrated.  There is a designated laundry at the hospital site which includes the safe storage of cleaning and laundry chemicals.  Residents’ rooms are of sufficient space to allow services to be provided and for the safe use and manoeuvring of mobility aids.  There are sufficient communal areas that include lounge and dining areas, and smaller seating areas.  The service has implemented policies and procedures for civil defence and other emergencies and six-monthly fire drills are conducted.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the provision of a non-restraint environment.  All staff receive training on restraint minimisation and management of behaviours that challenge.  There were no residents using enablers and no residents using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and its content and detail are appropriate for the size, complexity and degree of risk associated with the service.  The quality manager is also the infection control coordinator.  The infection control coordinator has attended external education and coordinates education and training for staff.  There is a suite of infection control policies and guidelines to support practice.  Information obtained through surveillance is used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6"/>
        <w:gridCol w:w="1280"/>
        <w:gridCol w:w="102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(three caregivers, one registered nurse both from the hospital unit, one clinical nurse manager (CNM), the chief executive and the quality manager) confirmed their familiarity with the Health and Disability Commissioner (HDC) Code of Health and Disability Services Consumers’ Rights (the Code).  Eight residents and two relatives were interviewed and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are obtained on admission.  Specific consents are obtained for specific procedures such as influenza vaccine.  Two family and eight residents interviewed confirmed they have been made aware of and fully understand informed consent processes and that appropriate information had been provided.  Resuscitation status had been signed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 right to access advocacy and services is identified for residents.  Advocacy leaflets are available in the service entrance area.  The information identifies who the resident can contact to access advocacy services.  The information pack provided to residents prior to entry includes advocacy information.  Staff were aware of the right for advocacy and how to access and provide advocate information to residents if needed.  Residents and family members interviewed were aware of their access to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that visiting can occur at any time.  Key people involved in the resident’s life have been documented in the care plans in files sampled.  Residents and relatives interviewed verified that they have been supported and encouraged to remain involved in the community.  Church groups, schools and entertainers have been invited to visit the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have been implemented and residents and their family/whānau have been provided with information on admission.  Complaint forms are available at the entrance of the service.  Staff are aware of the complaints process and to whom they should direct complaints.  A complaints folder has been maintained.  There were no complaints received in 2017 and one in 2018 to date.  This complaint was reviewed and showed appropriate acknowledgement, investigation and resolution within required timeframes.  Processes are in place to ensure that any complaint received is managed and resolved appropriately.  Residents and family members interviewed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CNM discusses the information pack with the resident and the family/whānau.  This includes the Code, complaints and advocacy information.  The service provides an open-door policy for concerns/complaints.  Information is given to the family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A confidentiality agreement is signed by staff at commencement of employment.  </w:t>
              <w:br/>
              <w:t xml:space="preserve">Church services are held weekly, and resident files include cultural and spiritual values.  Contact details of spiritual/religious advisors are available to staff.  Residents and relatives interviewed reported that residents are able to choose to engage in activities and access community resources.  There is a prevention of abuse and neglect policy and staff education and training on abuse and neglect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are no current residents who identify as NZ Māori living at the facility.  The service has a Māori heath plan and a cultural safety policy, which includes cultural safety and awareness.  The service has established links with local Māori and staff confirmed they are aware of the need to respond appropriately to maintain cultural safety.  Staff receive education on cultural awareness during their induction to the service and as a regular in-service topic.  Discussions with staff confirmed their understanding of the different cultural needs of residents and their 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There is multi-cultural staff employed at Leslie Groves rest home and the activities programme celebrates other cultures and special cultural celebrations.  Caregivers interviewed could describe learning about their residents and cultures.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is discussed during the new employee’s induction to the service.  Code of conduct training is also provided through the in-service training programme.  Policy and procedures related to discrimination ensure residents receive services free from any discrimination, and that residents are not subjected to any form of coercion, harassment, sexual or other exploitation.  Job descriptions include responsibilities of the position and ethics, advocacy and legal issues.  Interviews with caregivers and the registered nurse confirmed their understanding of professional boundaries, including the boundaries within their roles and responsibilities.  Professional boundaries are reconfirmed through education and training sessions, staff meetings, and performance management if there is infringement with the person concerned.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quality manager and clinical nurse manager is responsible for coordinating the internal audit programme.  Monthly quality meetings, staff unit meetings, clinical meetings and regular residents’ meetings are conducted.  There is a regular in-service education and training programme for staff.  Staff interviewed stated that they feel supported by the registered nurse and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A rotating on call roster is shared between the chief executive, quality manager and clinical nurse managers.  A house general practitioner (GP) visits the facility weekly and a nurse practitioner is available on request for mental health support.  The service receives support from the local district health board (DHB).  A podiatrist is on-site every six-weeks.  The service has links with the local community and encourages residents to remain independent.  Residents and relatives interviewed spoke positively about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Management interviewed described an open-door policy.</w:t>
            </w:r>
          </w:p>
          <w:p w:rsidR="00EB7645" w:rsidRPr="00BE00C7" w:rsidP="00BE00C7">
            <w:pPr>
              <w:pStyle w:val="OutcomeDescription"/>
              <w:spacing w:before="120" w:after="120"/>
              <w:rPr>
                <w:rFonts w:cs="Arial"/>
                <w:b w:val="0"/>
                <w:lang w:eastAsia="en-NZ"/>
              </w:rPr>
            </w:pPr>
            <w:r w:rsidRPr="00BE00C7">
              <w:rPr>
                <w:rFonts w:cs="Arial"/>
                <w:b w:val="0"/>
                <w:lang w:eastAsia="en-NZ"/>
              </w:rPr>
              <w:t>Evidence of communication with family/whānau is documented and held in each resident’s file.  Accident/incident forms have a section to indicate if next of kin have been informed (or not) of an accident/incident.  A sample of ten accident/incident forms reviewed from June and July 2018, identified that family are kept informed.  Relatives interviewed stated that they are kept well-informed when their family member’s health status changes.  Residents and family members also stated they were welcomed on entry and were given time and explanation about services and procedures.  Resident/relative meetings occur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is owned and operated by the St John's Parish (Roslyn) Friends of the Aged and Needy Society.  The board meets monthly and provides a governance role.  The service provides care for up to 34 residents at rest home level care.  On the day of the audit, there were 30 residents.  All residents were under the ARCC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Rest Home is managed by an experienced clinical nurse manager who has worked at the service for over three years.  The clinical nurse manager reports to the chief executive (RN) at the sister facility.  The chief executive visits at least two days a week and reports monthly to the board (or more frequently if required).  A quality manager (registered nurse) based at the sister facility supports the clinical nurse manager with weekly visits and assists with quality reporting and benchmarking.  The 2018 strategic plan and operation/quality plan are being implemented.  Quality goals include specific goals to reduce the falls rate.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completed at least eight hours of training related to management of a rest home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manager and Leslie Grove hospital CNMs provide cover during a temporary absence of the rest home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The quality manual and the strategic, business/quality and risk management plans and procedure describe Leslie Grove’s quality improvement processes.  Quality goals were documented in the operations quality plan and the quality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policies/procedures to support service delivery.  A document control policy outlines the system implemented whereby all policies and procedures are reviewed regularly.  Staff are made aware of any policy changes through staff meetings, evidenced in meeting minutes.  The monthly collating of quality and risk data includes monitoring accidents and incidents, infection rates, restraint use and results of annual resident and family satisfaction surveys.  Internal audits regularly monitor compliance.  There are rest home resident meetings held monthly with a good attendance rate.  The CNM’s from the rest home and sister facility meet the QM and CE fortnightly ensuring all management staff are aware of all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and relative satisfaction survey is completed.  The 2017 results demonstrated a 60% return rate with overall positive outcomes.  Corrective actions were established in the lower ranking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form is completed where areas are identified for improvement and included evidence of implementation and sign off.  Quality data is analysed for trends and is discussed at staff and management meetings, at the monthly board meeting, at handovers and displayed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is linked to the annual training plan with extra and impromptu training offered as issues are identified.  A quality improvement register is maintained and lists the key objectives, interventions and evaluations of the improvements listed.  A health and safety programme is in place, with documented objectives for 2018 and regular reviews.  There is an implemented risk register, which includes managing identified hazards.  Health and safety meetings are conducted each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(but is not limited to), individual resident reviews and staff education.  Residents at risk of falling have a falls risk assessment completed with strategies implemented to reduce the number of falls.  Care staff interviewed confirmed that they are aware of which residents are at risk of falling and that this is discussed during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all incident and accident information reported by staff on a paper-based system.  Incident and accident data is collected and analysed monthly and a report documented for the monthly quality and staff meetings.  Ten resident related incident forms were reviewed for June and July 2018.  Each event involving a resident reflected a clinical assessment and follow-up by a RN and included opportunities to minimise the risk of further incidents.  Care staff interviewed were very knowledgeable regarding the care needs for all residents.  Discussions with the clinical nurse manager, chief executive, and quality manager confirmed that there is an awareness of the requirement to notify relevant authorities in relation to essential notifications.  One norovirus outbreak July 2017 was notified to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 that relevant checks have been completed to validate the individual’s qualifications, experience and veracity.  A copy of practising certificates is kept.  Five staff files (one clinical nurse manager, one registered nurse, one activities coordinator and two caregivers) were reviewed, and included all appropriate documentation.  Staff turnover was reported as low, with some staff having been employed in excess of 20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have been conducted for all staff whose files were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completed in-service calendar for 2017 exceeded eight hours annually.  The management team and registered nurses attend external training including seminars and education sessions with the local DHB.  The CNM and RN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meeting contractual requirements.  In addition to the clinical nurse manager who works full-time, the rest home has a full time registered nurse working Monday to Friday and the quality manager based at the sister facility provides regular support.  The on-call roster is shared between the CE, QM, the rest home CNM and CNM’s from the affiliated hospital facility   Cleaning staff are employed over seven days a week.  An activities coordinator is rostered Monday to Friday.  Staff reported that staffing levels and the skill mix were appropriate and safe.  Residents interviewed advised that they felt there is sufficient staffing.</w:t>
            </w:r>
          </w:p>
          <w:p w:rsidR="00EB7645" w:rsidRPr="00BE00C7" w:rsidP="00BE00C7">
            <w:pPr>
              <w:pStyle w:val="OutcomeDescription"/>
              <w:spacing w:before="120" w:after="120"/>
              <w:rPr>
                <w:rFonts w:cs="Arial"/>
                <w:b w:val="0"/>
                <w:lang w:eastAsia="en-NZ"/>
              </w:rPr>
            </w:pPr>
            <w:r w:rsidRPr="00BE00C7">
              <w:rPr>
                <w:rFonts w:cs="Arial"/>
                <w:b w:val="0"/>
                <w:lang w:eastAsia="en-NZ"/>
              </w:rPr>
              <w:t>Leslie Groves rest home hospital operates as one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currently has 30 residents.  The morning shift is covered by one RN and three caregivers (all working full shifts).   On the afternoon shift there are three caregivers (two full and one four-hour shift) and on night shift there are two caregivers.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Sensitive resident information is not displayed in a way that can be viewed by other residents or members of the public.  Record entries are legible, dated and signed by the relevant staff member.  Individual resident files demonstrate service integration.  Medication charts are stored electronically.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to the service by the needs assessment team, and an initial assessment was completed on admission in files sampled.  The service has specific information available for residents/families/whānau at entry and it includes associated information such as the Code of rights, advocacy, informed consent, and palliative policy and the complaints procedure.  The admission agreement reviewed aligns with the ARC contract and exclusions from the service are included in the admission agreement.  All six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transfer/discharge/exit procedures include a transfer/discharge form and the completed form is placed on file.  The registered nurse stated that a staff member escorts the resident if no family were available to assist with transfer, and copies of documentation are forwarded with the resident.  There is evidence of regular liaison with the DHB to ensure a smooth transition.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electronic medication management system.  There are policies in place for safe medicine management that meet legislative requirements.  Medications were all safely stored.  All 12 medication charts sampled met legislative prescribing requirements.  All clinical staff who administer medications have been assessed for competency on an annual basis.  Education around safe medication administration has been provided.  The medication trolley is kept locked in the nursing station, which is also locked when not in use.  All eye drops in use had been dated on opening and none were expired.  Staff were observed during the lunchtime round, to be safely administering medications.  The registered nurse and care staff interviewed were able to describe their role in regard to medicine administration.  Standing orders are not used.  There was one resident self-medicating on the day of audit; this resident had a signed competency on file which is reviewed on a three-monthly basis.  The use of ‘as required’ (PRN) medications are monitored and electronically signed with times when administered.  Medication charts sampled had photo identification and allergies/adverse reactions documented.  The medication charts sampled identified that the GP had seen the resident three monthly and the medication chart was electronically signed.  The RNs carry out weekly checks on emergency equipment.  Oxygen cylinders are kept in a locked cupboard.  Sharps are disposed of into approved biohazard containers.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regularly, and these were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There is an external contractor providing the food services for both Leslie Groves sites.  The contracted company uses a commercial kitchen at the hospital site.  A dietary assessment is completed by the RN as part of the assessment process and this includes likes and dislikes.  There was evidence of residents receiving supplements.  Fridge and freezer temperatures are monitored and recorded daily in the kitchen.  Food in the fridge and freezers was covered and dated.  The external contractor conducts audits as part of their food safety programme.  Special or modified diets are catered for.  Soft and puree dietary needs are documented in files sampled.  This includes consideration of any particular dietary needs (including cultural needs).  </w:t>
              <w:br/>
              <w:t xml:space="preserve">Food is transported to the rest home via hot boxes.  Staff record the temperature of hot and cold dishes prior to serving.  Resident and families interviewed were complimentary of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to the service would be recorded on the declined entry form, and when this has occurred, the clinical nurse manager stated it had communicated to the potential resident/family/whānau and the appropriate referrer.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are completed within expected timeframes, information is gathered from a variety of sources such as family, discharge letters, and needs assessor assessments.  The facility has embedded the interRAI assessment protocols within its current documentation.  The RN and CNM are competent in the use of interRAI.  All residents have interRAI assessments completed.  InterRAI initial assessments and assessment summaries were evident in printed format in the files reviewed.  Files reviewed identified that risk assessments had been completed on admission and had been updated at the time of the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 recorded the resident’s problem/need, objectives and interventions for identified issues in all six files reviewed.  Short-term care plans were utilised for acute health needs in files sampled.  Resident files reviewed identified that family were involved in the care plan development and ongoing care needs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current with interventions updated.  Continence products are available and resident files include a urinary continence assessment.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weighs have been completed in all files sampled.  Referral to dietitian occurs as required, as confirmed by registered nurses interviewed.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all treatment rooms are stocked for use.  There were three residents with wounds at the time of audit (one chronic venous ulcer, one surgical wound and lesions on the lower leg).  All wounds had wound management plans in place.  There were no pressure injuries on the day of the audit.  Specialist wound care nurse and district nursing is available on request.  Monitoring forms include (but are not limited to); pain, weight and vital signs, food and fluid and behaviour monitoring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worked at the service for many years and works 28 hours on week one then 23.75 hours on week two.  Activities are delivered to meet the cognitive, physical, intellectual and emotional needs of the residents.  On the day of audit, residents were observed playing a card game.  The programme is developed monthly and displayed in the lounge.  The service receives feedback and suggestions for the programme through surveys and one-on-one feedback from residents (as appropriate) and families.  The residents and families interviewed spoke positively about the activities programme.  The programme is comprehensive and includes van outings, church services, daily exercises, flower arranging and going out for meals.  Residents are supported to achieve activities such as setting and clearing tables, folding towels and going to the supermarket.  There are resources available for staff to use for one-on-one time with the residents and for group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at least six monthly and were updated as changes were noted in care requirements in files sampled.  Care plan evaluations demonstrated the degree of achievement of goals and interventions in all files sampled.  When health status changes short-term care plans are utilised and any changes to the long-term care plan was updated in files sampled.  Residents and relatives feel they are well informed and kept up-to-date with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facilitates access to other services (medical and non-medical) in consultation with the GP, and where access has occurred, referral documentation was maintained in files sampled.  Residents' and/or their family/whānau interviewed reported they are involved as appropriate when referral to another service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Safety data charts were available, and the hazard register identifies hazardous substances.  Safe chemical handling training has been provided.  There are designated areas for storage of cleaning/laundry chemicals and chemicals were stored securely.  Laundry and sluice rooms are locked when not in use as observed throughout the audit.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 Rest Home displays a current building warrant of fitness.  Hot water temperatures are checked monthly.  Medical equipment and electrical appliances have been tested and calibrated.  The maintenance person is shared between the two sites and spends two days a week at the rest home.  Regular and reactive maintenance occurs.  Residents were observed to mobilise safely within the facilities.  There are sufficient seating areas throughout the facility.  The exterior has been well maintained with safe paving in the court yards with outdoor shaded seating.  Caregivers interviewed confirmed there was adequate equipment to carry out the cares according to the resident needs as identified in the care plans.  There is a separate lounge area, which can be opened up for large functions or closed to provide privacy when required.  There is a safe outside area that is easy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are single rooms with shared ensuites.  There are sufficient numbers of resident communal toilets in close proximity to resident rooms and communal areas.  Visitor toilet facilities are available.  Residents interviewed stated their privacy and dignity is maintained while attending to their personal cares and hygiene.  The communal toilets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spacious and meet the resident’s assessed needs.  Residents are able to manoeuvre mobility aids around the bed and personal space.  All beds are of an appropriate height for the residents.  Caregivers interviewed reported that rooms have sufficient space to allow cares to take place.  The bedrooms were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and dining room and one smaller lounge area in the rest home.  The dining room is spacious and located directly off the kitchen/servery area.  The furnishings and seating are appropriate for residents’ needs.  Residents interviewed reported they are able to move around the facility and staff assisted them when required.  Activities take place in any of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monitored the effectiveness and compliance of cleaning and laundry policies and procedures.  Laundry is laundered offsite.  There is a separate laundry area at the hospital site where all linen and personal clothing is laundered for both sites.  The dirty laundry is collected daily and returned cleaned to the rest home daily.  Manufacturer’s data safety charts are available.  All chemicals were stored securely.  Residents and family interviewed reported satisfaction with the laundry service and cleanliness of the room/facility.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member on each duty that has completed first aid training.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an established infection control (IC) programme.  The infection control programme is appropriate for the size, complexity and degree of risk associated with the service.  The quality manager (a registered nurse) based at the sister facility is the infection control nurse with support from the clinical nurse managers and registered nurses.  There is a combined infection prevention and control and health and safety meeting held monthly with the sister facility.  Results from this meeting are discussed at monthly quality and registered nurse meetings.  Regular audits have been conducted and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Leslie Groves.  The infection control (IC) coordinator has maintained her practice by attending regular updates.  External resources and support are available when required.  Infection prevention and control is part of staff orientation and induction.  Hand washing facilities are available throughout the facilities and alcohol hand gel is freely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the ongoing education of staff and residents.  Education is facilitated by the infection control coordinator with support from the registered nurses.  All infection control training has been documented and a record of attendance has been maintained.  Visitors are advised of any outbreaks of infection and are advised not to attend until the outbreak had been resolved.  Information was provided to residents and visitors that are appropriate to their needs and this was documented in medical records.  Education around outbreak management and infection prevention and control has been provided in 2017 and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policy.  The quality manager is the designated infection control nurse.  Monthly infection data is collected for all infections based on signs and symptoms of infection.  Surveillance of all infections is entered onto a monthly resident infection datasheet.  The data has been monitored and evaluated monthly and annually at facility and organisational level.  An outbreak in July 2017 was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restraint minimisation and safe practice was evidenced in the restraint policy and interviews with clinical staff.  Policies also include managing resident behaviours, alternatives to restraint and guidance for staff in responding to challenging behaviours and resident needs.  The service remains restraint-free.  Staff training around restraint minimisation and management of challenging behaviours last occurred in May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3502"/>
        <w:gridCol w:w="78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Leslie Groves Rest Home provides a culture of continuous improvement.  Quality improvement plans are developed when shortfalls are identified or in response to complaints incidents, internal audits or observations and also when an opportunity is identified for improvement to services to be made (incident trends, satisfaction surveys, complaints, ideas and suggestions).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August 2017, Leslie Groves rest home identified fall rates and related injuries were higher than expected and developed a project to improve the service provided to residents and reduce the fall rates.  The analysis of all falls identified contributing factors and opportunities for improvement were identified.  In September a staff education and information PowerPoint presentation were delivered to all staff.  Staff engagement was positive and a culture of working together with a common goal was evident.  Staff provided ideas for individual resident fall reduction and were encouraged to provide suggestions and ideas.  Engagement was measured monthly around all aspects of falls, including location, times, staffing numbers and individual residents and there has been a significant decrease in the falls rate since the project began.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 overall focus on reducing falls, the rate has decreased from 26.3 falls per 1000 bed days in August 2017 to between 3 and 12.4 per 1000 bed days since the project commenced.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John's Parish (Roslyn) Friends of the Aged and Needy Society - Leslie Grove Home</w:t>
    </w:r>
    <w:bookmarkEnd w:id="58"/>
    <w:r>
      <w:rPr>
        <w:rFonts w:cs="Arial"/>
        <w:sz w:val="16"/>
        <w:szCs w:val="20"/>
      </w:rPr>
      <w:tab/>
      <w:t xml:space="preserve">Date of Audit: </w:t>
    </w:r>
    <w:bookmarkStart w:id="59" w:name="AuditStartDate1"/>
    <w:r>
      <w:rPr>
        <w:rFonts w:cs="Arial"/>
        <w:sz w:val="16"/>
        <w:szCs w:val="20"/>
      </w:rPr>
      <w:t>13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