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 Court Rest Home Limited - Elms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 Court Resthome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2018</w:t>
      </w:r>
      <w:bookmarkEnd w:id="7"/>
      <w:r w:rsidRPr="009418D4">
        <w:rPr>
          <w:rFonts w:cs="Arial"/>
        </w:rPr>
        <w:tab/>
        <w:t xml:space="preserve">End date: </w:t>
      </w:r>
      <w:bookmarkStart w:id="8" w:name="AuditEndDate"/>
      <w:r w:rsidR="00A4268A">
        <w:rPr>
          <w:rFonts w:cs="Arial"/>
        </w:rPr>
        <w:t>11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 Court Rest Home is privately owned and operated, and provides care for up to 19 residents requiring rest home level care.  On the day of the audit there were 19 residents.  </w:t>
      </w:r>
    </w:p>
    <w:p w:rsidRPr="00A4268A">
      <w:pPr>
        <w:spacing w:before="240" w:line="276" w:lineRule="auto"/>
        <w:rPr>
          <w:rFonts w:eastAsia="Calibri"/>
        </w:rPr>
      </w:pPr>
      <w:r w:rsidRPr="00A4268A">
        <w:rPr>
          <w:rFonts w:eastAsia="Calibri"/>
        </w:rPr>
        <w:t>The service is managed by a manager/owner who has worked at the facility for seven years prior to becoming manager/owner three and a half years ago.  The manager/owner is supported by a part time assistant manager and clinical manager/RN.  Residents and families interviewed were complimentary of the care and support provided.  Staff turnover remains low.</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This certification audit identified area for improvement relating to documented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Elms Court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There is a complaint’s register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documented quality and risk programme.  Progress with the quality and risk management programme has been monitored through the quality improvement meetings and staff meetings.  Data is collected on complaints, accidents, incidents, infection control and restraint use.  There is a current business plan in place.  Resident/relative meetings are held monthly.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clinical manager/RN is responsible for each stage of service provision.  The clinical manager/RN assesses, plans and reviews residents' needs, outcomes and goals with the resident and/or family/whānau input.  Care plans reviewed in resident records demonstrated service integration and were evaluated at least six monthly.  Medication policies reflect legislative requirements and guidelines.  The clinical manager/RN and senior care partners (caregivers) responsible for administration of medicines complete annual education and medication competencies.  The medicine charts reviewed met legislative prescribing requirements and were reviewed at least three monthly by the general practitioner.  The lifestyle coordinator provides and implements an interesting and varied activity programme.  The programme includes community visitors and outings, entertainment and activities that meet the individual recreational preferences of the residents.  Residents' food preferences and dietary requirements are identified at admission and all meals and baking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There are adequate communal toilet/shower rooms.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Elms Court Rest Home has restraint minimisation and safe practice policies and procedures in place.  There were no residents requiring the use of a restraint or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1"/>
        <w:gridCol w:w="1280"/>
        <w:gridCol w:w="92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three care staff (two care partners and one lifestyle coordinator) confirmed their familiarity with the Code.  Six residents and two-family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Permissions granted for general consents are included in the admission agreement as sighted in five of five rest home files, including one resident under 65 years on the LTS-CHC contract and one younger person under Ministry of Health (MOH) funding.  Consent forms are signed for any specific procedures such as the influenza vaccine.  Care partners interviewed confirmed consent is obtained when delivering cares.  Advance directives also identified the resident resuscitation status and signed by the resident (if appropriate) and the GP.  The service acknowledges the resident is for resuscitation in the absence of a signed directive by the resident.  Copies of enduring power of attorney (EPOA) were seen in the resident files as appropriate.  Discussion with family members identifies that the service actively involves them in decisions that affect their relative’s lives.  Five admission agreements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procedures have been implemented and residents and their family/whānau are provided with information on admission.  The residents and families interviewed were aware of the complaints process and to whom they should direct complaints.  Complaint forms are visible at the entrance of the facility.  A complaints procedure is provided to residents within the information pack at entry.  A complaints register is maintained.  Seven complaints have been received at Elms Court Rest Home since the last audit, five made in 2017 and two received in 2018 year to date.  The complaints reviewed have been acknowledged and investigated.  Complainants are informed of the outcome and satisfaction of the outcome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manager/owner or clinical manager/RN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receive training on abuse and neglect, which was last completed in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On the day of the audit there were no residents that identified as Māori.  Staff confirmed they are aware of the need to respond appropriately to maintain cultural safety.  Staff receive training on cultural safety and Treaty of Waitangi, which was last completed in October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manager/owner is responsible for coordinating the internal audit programme.  Bi-monthly staff and three-monthly quality/management meetings and three-monthly residents’ meetings are conducted.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that management and staff are approachable and available.  Twelve incident forms reviewed identified family were notified following a resident incident.  Relatives interviewed confirmed they are notified of any incidents/accidents.  Families are invited to attend the three monthly resident/family meeting.  The service has policies and procedures available for access to interpreter services for residents (and their family).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 Court Rest Home is privately owned and operated, and provides care for up to 19 residents requiring rest home level care.  On the day of the audit, there were 19 residents in total, including three residents on younger persons with disability (YPD) contracts (one was under MOH funding) and two residents on long-term support chronic health conditions (LTSCHC) contracts.  All other residents were under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manager/owner who is experienced in the industry and has worked at the facility for four years prior to becoming manager/owner three and a half years ago.  The manager/owner has previously worked in the social service area.  The manager/owner is supported by a part time assistant manager and clinical manager/RN, who have both worked at Elms Court for three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 current 2018/2019 business plan.  The business plan identifies all 2017 goals have been achieved.  The business plan incorporates the risk management plan and goals for each area of service delivery and organisational management.  The manager/owner is responsible for the operational and financial aspect of the business.  </w:t>
            </w:r>
          </w:p>
          <w:p w:rsidR="00EB7645" w:rsidRPr="00BE00C7" w:rsidP="00BE00C7">
            <w:pPr>
              <w:pStyle w:val="OutcomeDescription"/>
              <w:spacing w:before="120" w:after="120"/>
              <w:rPr>
                <w:rFonts w:cs="Arial"/>
                <w:b w:val="0"/>
                <w:lang w:eastAsia="en-NZ"/>
              </w:rPr>
            </w:pPr>
            <w:r w:rsidRPr="00BE00C7">
              <w:rPr>
                <w:rFonts w:cs="Arial"/>
                <w:b w:val="0"/>
                <w:lang w:eastAsia="en-NZ"/>
              </w:rPr>
              <w:t>The manager/owner has attended at least eight hours of professional development that relates to managing a rest home including NZ Aged Care Association and quality and risk management training courses.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manager/owner reported that in the event of her temporary absence the assistant manager or clinical manager/RN fills the role with support from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programme describes Elms Court Rest Homes quality improvement processes.  Progress with the quality and risk management programme has been monitored through the three-monthly quality/management meetings.  The three-monthly quality/management meetings cover matters arising from the bi-monthly staff and three monthly resident meetings, and health and safety, complaints, accidents/incidents, infection control, internal audits, and survey results and outcomes.  Meeting minutes have been maintained and staff are expected to read the minutes.  Minutes for all meetings have included actions to achieve compliance where relevant.  Staff interviewed confirmed they are well informed and receive quality and risk management information including accident/incident and infection control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2017 has been completed and 2018 is being completed as per schedule.  Areas of non-compliance identified at audits have been actioned for improvement.  The service has implemented a health and safety management system.  Risk management, hazard control and emergency policies and procedures are being implemented and are monitored at the quality/management meeting.  Hazard identification forms and an up-to-date hazard register (last reviewed 19 March 2018)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policies/procedures to support service delivery.  The policies have been developed by an aged care consultant and are reviewed and updated two yearly.  An annual resident and relative satisfaction survey (June 2018) has been conducted with respondents advising that they are overall very satisfied with the care and service they receive.  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for the month of May and June 2018 were reviewed.  All document timely RN review and follow-up.  Neurological observation forms were documented and completed for two unwitnessed falls with potential head injury.  There is documented evidence the family had been notified of any incidents.  Discussions with the manager/owner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clinical manager/RN, three care partners and one lifestyle coordinator) were reviewed.  The recruitment and staff selection process require that relevant checks are completed to validate the individual’s qualifications, experience and suitability for the role.  Performance appraisals were current.  A current practising certificate was sighted for the clinical manager/RN.  The service has an orientation programme in place to provide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stated that they believed new staff are adequately orientated to the service.  The clinical manager/RN and care partners complete competencies relevant to their role such as medications.  There is an education planner in place that covers compulsory education requirements over a two-year period.  The clinical manager/RN has completed interRAI training and has attended education sessions at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 weekly roster in place which provides sufficient staffing cover for the provision of care and service to residents.  Staffing rosters were sighted and there is an adequate number of staff on duty to meet the resident’s needs on different shifts.  The manager/owner is on-site from 9.00 am until 4.00 pm Monday to Friday and is on-call 24/7 for any operational issues.  There is a clinical manager/RN on-site for 19.5 hours per week or more if required and is also on-call 24/7 for any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local general practitioner (GP) also provides after hours care if required and the care partners have access to the local ambulance service.  There are two care partners on duty in the morning shift, two care partners on duty in the afternoon shift and one care partner on the night shift.  Roster shortages or sickness are covered by casual or off duty staff.  The care partners and residents interviewed report that there is sufficient staff cover.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care are   provided for families and residents prior to admission or on entry to the service.  Admission agreements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clinical manager/RN and senior care partners who administer medications have been assessed for competency on an annual basis and attend annual medication education.  All medication is checked on delivery against the medication chart and pack signed in on the electronic medication system (implemented August 2017).  All medications are stored safely.  Medication fridges are checked weekly and maintained within the acceptable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Eye drops are dated on opening.  There was one resident self-medicating on the day of audit.  A self-medication competency had been completed and reviewed three monthly by the RN and GP.  Ten medication charts reviewed on the electronic medication system were reviewed and met legislative requirements.  All medication charts had photo identification and allergy status documented.  Indications for ‘as required’ medication were documented on the medication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by the cook/assistant manager Monday to Friday and a weekend cook.  All staff have completed food safety training.  The food control plan expires 18 April 2019.  The four-weekly seasonal menu has been reviewed by a dietitian.  Resident dislikes are known and accommodated.  Meals are plated and served directly from the kitchen area to residents in the dining room.  Residents choose the menu on their birthdays.  Fridge temperatures are taken daily and freezer temperatures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taken on all foods daily, and recorded.  Perishable foods sighted in the fridge were dated.  A maintenance and cleaning schedule is maintained.  Dried goods in the pantry are dated and goods are rotated when orders are delivered.  Resident meetings along with direct input from residents, provide resident feedback on the meals and food services generally.  Residents and family members interviewed were very satisfied with the food and confirmed alternative food choices were offered for any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completes an initial assessment and care plan on admission including relevant risk assessment tools.  Risk assessments are completed six monthly or earlier due to health changes.  InterRAI assessments were completed within 21 days of admission as sighted in three resident files admitted within the last six months.  InterRAI assessments have also been completed for one resident under 65 years on the LTS-CHC contract and one younger person under MOH funding.  Resident needs and supports are identified through available information such as discharge summaries, assessments,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as assessed were included in the long-term care plans reviewed.  Short-term care plans are used for changes to health status (link 1.3.6.1) and sighted in resident files, for example, infections and wounds and have either resolved or if ongoing transferred to the long term-care plan.  Long-term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gerontology nurse specialist, mental health services for the older person, podiatrist, pharmacist, dietitian and diabetes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manager/RN initiates a review and if required, GP, nurse specialist consultation.  There is documented evidence the family/whānau contact sheet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Changes to resident’s health are monitored and identified through ongoing daily assessments.  Changes to health are reported to the clinical manager/RN who informs the GP or other allied health specialists.  Adequate dressing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 and treatment forms, ongoing evaluation form and evaluation notes were in place for two residents (one skin tear, one lesion and one pressure injury).  Short-term care plans were in place for both wounds.  There is access to a wound nurse specialist if required.  Continence products are available and resident files include a urinary continence assessment, bowel management, and continence products identified.  Monitoring forms and short-term care plans provide guidance for the safe delivery of care for short-term needs/supports.  There were no interventions for one resident with weight loss and two residents with diagnosis of epilepsy.  Blood pressures had not been consistently taken for three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lifestyle coordinator with an occupational therapy background.  She works 16 hours a week spread over four days a week.  Working hours are flexible around resident activities such as outings.  The programme included activities such as quizzes, word builders, exercises, walks, art and crafts, baking, music, happy hours and news and views.  Care partners implement the weekend programme that includes movies.  Residents are supported to attend community events including weekly visits to the Selwyn centre and attending concerts in the community with other rest homes.  A company car and taxis are used for outings to art galleries, museums and going to the movies.  Church services and communion are held on-site.  Volunteers are involved in the programme and visit weekly with one from the men’s shed.  One-on-one time is spent with residents who choose not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coordinator meets daily with the younger persons to ensure their individual recreational references are being met.  They are offered to join in activities and are supported to maintain their interests/outings for example classic cars, car magazines, car museum visits.  There is handyman time where residents assist the handyman in the gardens and enjoy outdoor activities including drives to the dump.  A resident social profile is completed on admission.  Individual activity plans were seen in the resident files.  The lifestyle coordinator is involved in the six-monthly review with the clinical manager/RN.  The service receives feedback and suggestions for the programme through resident meetings and surveys.  Residents and relatives interviewed were satisfied with all on-site and community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for two of the five files reviewed.  Three residents had not been at the service six months.  Written evaluations reviewed for the two residents who had been at the service for over six months, identified if the resident goals had been met or unmet.  The care plans had been updated with changes identified at the multidisciplinary review or earlier.  Family are invited to attend the care plan review and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a locked area within the facility.  Bottles have manufacturer labels.  Staff have completed chemical safety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2019.  Maintenance is overseen by the manager/owner and the maintenance person (previous owner) is on-site twice a week to address maintenance requests recorded in the maintenance book.  The maintenance person also tends to the garden and grounds.  There is a planned maintenance programme that includes two yearly testing and tagging of electrical equipment and annual calibrations of resident related equipment such as the chair scales.  </w:t>
            </w:r>
          </w:p>
          <w:p w:rsidR="00EB7645" w:rsidRPr="00BE00C7" w:rsidP="00BE00C7">
            <w:pPr>
              <w:pStyle w:val="OutcomeDescription"/>
              <w:spacing w:before="120" w:after="120"/>
              <w:rPr>
                <w:rFonts w:cs="Arial"/>
                <w:b w:val="0"/>
                <w:lang w:eastAsia="en-NZ"/>
              </w:rPr>
            </w:pPr>
            <w:r w:rsidRPr="00BE00C7">
              <w:rPr>
                <w:rFonts w:cs="Arial"/>
                <w:b w:val="0"/>
                <w:lang w:eastAsia="en-NZ"/>
              </w:rPr>
              <w:t>Essential contractors are available 24 hours.  Hot water temperatures in resident areas are monitored monthly and have been maintained below 45 degrees Celsius.  The facility corridors have sufficient space for residents to safely mobilise using mobility aids.  There is safe access to the outdoor areas and gardens.  Seating and shade is provided.  The care partners and clinical manager/RN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bedroom with a full ensuite.  There are adequate numbers of communal toilets and showers.  There are privacy locks in place.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single resident rooms and four double rooms.  Residents and relatives consent to sharing a room.  There are privacy curtains in place.  There is adequate room to safely manoeuvre using mobility aids.  Residents and families are encouraged to personalise bedrooms.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 separate dining room with an open plan kitchen.  There is a separate large lounge area with seating appropriately placed to allow for group and individual activities.  All communal areas are accessible to residents.  Care staff assist to transfer residents to communal areas for dining and activities as required.  The garden and grounds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All linen and personal clothing is done on-site by care staff.    There has been a redesign of the laundry to easily identify the clean/dirty area and allow more space for the folding/sorting and ironing of personal clothing.  There is appropriate personal protective wear readily available.  The cleaner’s trolley is stored in a locked area when not in use.  Cleaning schedules are maintained.  Internal audits monitor the effectiveness of cleaning and laundry processes.  Residents and relatives are satisfied with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in May 2015.  There are emergency and disaster management plans in place to ensure health, civil defence and other emergencies are included.  Six-monthly fire evacuation practice documentation was sighted, with the last fire evacuation drill occurring on 5 April 2018.  Fire training and security situations are part of orientation of new staff and include competency assessments.  There are adequate supplies in the event of a civil defence emergency including sufficient food, water (well water supply), blankets and alternate gas cooking (BBQ).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and first aid kits available.  Emergency equipment is available at the facility.  There is a generator available on-site.  Short-term backup power for emergency lighting is in place.  A minimum of one person trained in first aid and cardiopulmonary resuscitation (CPR) is available at all times.  The clinical manager/RN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and safe ventilation.  There are heat pumps in communal areas and wall heaters in resident rooms.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infection control coordinator with responsibility of overseeing infection control management for the facility.  There is a job description outlining defined responsibilities of the role.  The infection control coordinator provides reports quarterly to the management team and bi-monthly to the staff meeting.  The infection control programme is reviewed annually last March 2018.  Visitors are asked not to visit if they are unwell.  Hand sanitisers were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the on-line MOH infection control course May 2018.  There are adequate resources to implement the infection control programme for the size and complexity of the organisation.  The infection control coordinator can access support/advice from the infection prevention and control community team and the gerontology nurse specialist, GP, practice nurses and Southern Community laboratory.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policies have been developed by an aged care consultant and outlines a comprehensive range of policies, standards and guidelines and includes responsibilities of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includes hand hygiene competencies.  Infection prevention and control is part of the staff orientation process.  Resident education occurs as part of daily activities and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described in the infection control manual.  Monthly infection data is collected for all infections based on signs, symptoms and definition of infection.  Short-term care plans are used for infections.  Surveillance of all infections is entered onto a monthly infection summary.  This data is monitored and analysed for trends monthly and annually.  Meeting minutes with attached monthly infection analysis is available to staff.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 free environment.  Staff receive training in restraint minimisation and challenging behaviour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9"/>
        <w:gridCol w:w="1280"/>
        <w:gridCol w:w="5635"/>
        <w:gridCol w:w="3441"/>
        <w:gridCol w:w="20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requirements and assessments are completed on admission identifying resident nutritional status and preferences.  Residents are weighed monthly or more frequently if weight is of concern, however, there were no interventions for one resident with weight loss.  Monitoring forms are used for weight, blood sugar levels, bowel charts, pain, behaviour charts and observations.  The GP takes and records blood pressures at three monthly reviews, however, this had not been taken three monthly for three residents.  Interventions had not been documented for two residents with history of seizures.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interventions for one resident with 2.4kg unintentional weight loss who also has a stage two pressure injury, and ii) the GP had not recorded the three-monthly blood pressures for three residents (one for six months, one for five months and one for seven months) and iii) there were no documented interventions for two residents with history of seizures.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weight loss is identified and managed, ii) ensure blood pressures are recorded at the monthly GP reviews and iii) ensure there are documented interventions for the treatment and management of seizures.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 Court Rest Home Limited - Elms Court Rest Home</w:t>
    </w:r>
    <w:bookmarkEnd w:id="58"/>
    <w:r>
      <w:rPr>
        <w:rFonts w:cs="Arial"/>
        <w:sz w:val="16"/>
        <w:szCs w:val="20"/>
      </w:rPr>
      <w:tab/>
      <w:t xml:space="preserve">Date of Audit: </w:t>
    </w:r>
    <w:bookmarkStart w:id="59" w:name="AuditStartDate1"/>
    <w:r>
      <w:rPr>
        <w:rFonts w:cs="Arial"/>
        <w:sz w:val="16"/>
        <w:szCs w:val="20"/>
      </w:rPr>
      <w:t>11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