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Waihi Senior Citizens Home Incorporated - Hetherington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Waihi Senior Citizens Home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Hetherington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June 2018</w:t>
      </w:r>
      <w:bookmarkEnd w:id="7"/>
      <w:r w:rsidRPr="009418D4">
        <w:rPr>
          <w:rFonts w:cs="Arial"/>
        </w:rPr>
        <w:tab/>
        <w:t xml:space="preserve">End date: </w:t>
      </w:r>
      <w:bookmarkStart w:id="8" w:name="AuditEndDate"/>
      <w:r w:rsidR="00A4268A">
        <w:rPr>
          <w:rFonts w:cs="Arial"/>
        </w:rPr>
        <w:t>20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Hetherington House (Waihi Senior Citizens Home) is owned and operated by a community charitable trust. The trust is overseen by a board of trustees consisting of 10 members. The facility provides care for up to 50 residents offering rest home, hospital, and secure dementia care. </w:t>
      </w:r>
    </w:p>
    <w:p w:rsidRPr="00A4268A">
      <w:pPr>
        <w:spacing w:before="240" w:line="276" w:lineRule="auto"/>
        <w:rPr>
          <w:rFonts w:eastAsia="Calibri"/>
        </w:rPr>
      </w:pPr>
      <w:r w:rsidRPr="00A4268A">
        <w:rPr>
          <w:rFonts w:eastAsia="Calibri"/>
        </w:rPr>
        <w:t xml:space="preserve">The service is managed by a facility manager who is an ex-registered nurse who has 30 years’ experience in aged care. The facility manager was appointed in February 2018. </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the manager, staff, and a general practitioner.  </w:t>
      </w:r>
    </w:p>
    <w:p w:rsidRPr="00A4268A">
      <w:pPr>
        <w:spacing w:before="240" w:line="276" w:lineRule="auto"/>
        <w:rPr>
          <w:rFonts w:eastAsia="Calibri"/>
        </w:rPr>
      </w:pPr>
      <w:r w:rsidRPr="00A4268A">
        <w:rPr>
          <w:rFonts w:eastAsia="Calibri"/>
        </w:rPr>
        <w:t xml:space="preserve">This audit has identified areas for improvement relating to human resources management, assessment and care plan timeframes and medication management documentation. Improvements have been made to activity planning and fire evacuation, addressing those areas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formal interpreter services if required.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core values, purpose and direction of the service. Monitoring of the services provided to the board of trustees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and management of staff is based on current good practice. A systematic approach to identify and deliver ongoing training supports safe service delivery and includes individual performance reviews.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is coordinated in a manner that promotes continuity in service delivery and promotes a team approach to care delivery.  </w:t>
      </w:r>
    </w:p>
    <w:p w:rsidRPr="00A4268A" w:rsidP="00621629">
      <w:pPr>
        <w:spacing w:before="240" w:line="276" w:lineRule="auto"/>
        <w:rPr>
          <w:rFonts w:eastAsia="Calibri"/>
        </w:rPr>
      </w:pPr>
      <w:r w:rsidRPr="00A4268A">
        <w:rPr>
          <w:rFonts w:eastAsia="Calibri"/>
        </w:rPr>
        <w:t xml:space="preserve">All residents have interRAI assessments completed and individualised care plans related to this programme.  When there are changes to the resident’s needs a short-term plan is developed and integrated into a long-term plan, as needed.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 fire evacuation approved plan is in place and all fire equipment has been checked.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Three enablers and two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infections.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26 complaints/concerns of a minor nature have been received over the past year and that actions taken, through to an agreed resolution, are documented and completed within the timeframes. Fifteen of the complaints are from one resident who had no complaints on the day of audit. Action plans show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complaints management and follow up. She verbalised her understanding of the process as sighted in policy.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This was confirmed in the complaints register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able to speak and understand English.  Staff support residents in the service who identify as Maori to integrate their cultural values and beliefs, however there were no residents who affiliate with their Maori culture at the time of audit.  There is one resident who has a significant sensory impairment and appropriate resources and equipment have been implemented to support the resident to maintain their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last reviewed in September 2017, outline the purpose, core values, direction and goals of the organisation. The documents described annual and longer term (10 year) objectives and the associated operational plans. A sample of monthly reports to the board of trustees showed adequate information to monitor performance is reported including financial, occupancy, maintenance and improvements, quality data, staff education, complaints and human resources matters. Health and safety issues are also discussed. Three board members sit on the health and safety committee and present any issues or emerging risks identified to the full board. The facility manager meets with either the chairman of the board or a nominated board member on an informal weekly basis to discuss any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(level five (NZQA) diploma in business management) and has been in the role since February 2018. The Ministry of Health were notified of the change of manager. Soon after accepting the role, the facility manager was off work for health reasons for nine weeks and has only been active in the role for six weeks. Responsibilities and accountabilities are defined in a job description and individual employment agreement.  The facility manager has worked in aged care for 30 years and attends age care conferences and undertakes ongoing manager education. The facility manager was a registered nurse but they have not kept their registration current. The facility manager confirmed knowledge of the sector, regulatory and reporting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Waikato District Health Board (WDHB) for hospital, rest home, respite, end of life and dementia care services and with Ministry of Health (MOH) for residents who are under the age of 65 years. At the time of audit, there were 46 residents at the facility. Forty-five residents (29 rest home, 10 hospital and 6 dementia care) were receiving services under the Age Related Residential Care contract and one resident was receiving services under the End of Life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under the Residential non-aged MOH contract, Residential Respite Care (WDHB), or Long-Term Support Chronic Health Conditions (WDHB)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monitoring of outcomes, clinical incidents including infections, wound care, pressure injuries and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Related information and outcomes are reported and discussed at the board meetings, and staff meetings. Staff reported their involvement in quality and risk management activities through implementation of corrective actions and audit activities. Relevant corrective actions are developed and implemented to address any shortfalls. For example, there was an increase in medication errors in March 2018 which was followed up with a full clinical review by the GP and staff were reminded to followed safe medication management protocols. Each medication error was investigated.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resident and family satisfaction surveys are completed annually. The most recent survey undertaken in 2017 was not located on the day of audit. Minutes from residents’ meetings were sighted and they showed that any issues raised are followed up accordingly. This was confirmed during resident and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 is familiar with the Health and Safety at Work Act (2015) and has implemented requirements.  The board of trustees are actively involved in the health and safety committee and oversee all actions. This was also identified in the risk register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showed these were fully completed, incidents were investigated, action plans developed and actions followed-up in a timely manner.  Adverse event data is collated, analysed and reported to the facility manager and to the board of trustees.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senior registered nurse described essential notification reporting requirements, including for pressure injuries.  They advised there have been two notifications related to stage three pressure injuries made to the MOH under section 31 reporting since the previous audit. Both were non-facility acquired, one on 19 July 2017 and the second on 23 July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who went missing from the facility for two hours, was then returned to the facility by a member of the public. The internal investigation has been documented. The police were notified, but the resident returned before the police actioned the incident. This was not notified to the MOH at the time, but the facility is now aware that this is a requirement and a copy of required notifications have been placed in required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police investigations, coroner’s inquests, issues-based audits and any other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not being consistently implemented in relation to annual staff appraisals and orientation documentation.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Of the seven staff files reviewed, three staff who commenced prior to 2010 had no orientation records and two more recently employed staff members (2016 and 2018) had no record of orientation.  Two of the seven files had overdue staff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Staff working in the dementia care area have either completed or are enrolled in the required education. There are four trained and competent registered nurses who are maintaining their annual competency requirements to undertake interRAI assessments. Records reviewed demonstrated completion of the required training for interRAI with annual appraisals.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Staff confirmed the facility adjusts staffing levels to meet the changing needs of residents.  The staffing levels matched the need identified on the interRAI acuity data report sighted. An afterhours on call roster is in place, with staff reporting that good access to advice is available when needed.   Most care staff reported there were adequate staff available to complete the work allocated to them.  One staff member stated that it would be good to have another staff member on to assist with giving out breakfast. This was not supported by the other caregivers interviewed. Residents and family interviewed had no concerns around staffing numbers. Observations and review of a four-week roster cycle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rostered staff for the dementia unit. The diversional therapist, administrator, facility manager and senior registered nurse work Monday to Friday. The facility manager is on call for non-clinical matters and the senior registered nurse for clinical issues. Dedicated kitchen, laundry and cleaning staff work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paper-based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of medications; however, not all discontinuation of short term medicines were signed off by a GP and not all pro re nata (PRN) medicines had a reason stated for administering the medication. The required three-monthly GP review was recorded on the medicine chart, except for two residents. In these cases, evidence was sighted in the residents’ folders showing that the GP had completed an up to date three monthly review.  Standing orders are used and were current and comply with guidelines.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  There is a process for any medication errors.  A corrective action plan was sighted at the time of audit for medication errors and was followed up by the senior registered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manager, another two cooks and supported by kitchen staff,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facility was issued with a food safety guide certificate and an A grade pass on the 24th April 2018.  Food temperatures, including for high risk items, are monitored appropriately and recorded as part of the plan. The kitchen manager interviewed has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Residents in the secure unit have access to food and fluids to meet their nutritional needs at all times.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in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The ‘house doctor’ interviewed, verified that medical input is sought in a timely manner, that medical orders are followed, and care is of a very good standard.  Staff interviewed confirmed that they knew the residents well and care was provided as needed, however not all interRAI and long-term care plans were up to date and reflected residents assessed needs and desired outcomes (Refer criterion 1.3.3.3).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The diversional therapist, along with the support of regular volunteers, support residents from Monday to Friday 8 am – 4.30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Individual, group activities and regular events are offered.  Several residents are independent and encouraged to connect and interact with the community, while other residents are supported by the staff and groups in the community to partake in regular community activities and groups.  Many of the activities provided at the facility support the coming together of all three services daily.   Residents and families/whānau are involved in evaluating and improving the programme through residents’ meetings and day to day discussions. Residents interviewed confirmed they find the programme interactive and fun.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an area for improvement to ensure that all residents in the dementia unit had a 24-hour activity care plan to support residents with behaviours that may be challenging.  This corrective action is now address with records available demonstrating these care plans in all five files reviewed in the dementia unit.  Activities for residents from the secure dementia unit are specific to the needs and abilities of the people living there. Activities are offered at times when residents are most physically active and/or restless.  This includes one to one activities, music and distraction.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interRAI assessment is seen as the formal care plan evaluation that occurs every six months or as residents’ needs change; however, not all interRAI and long-term care plans were up to date (Refer criterion 1.3.3.3).   Where progress is different from expected, the service responds by initiating changes to the plan of care and there is evidence of working documents throughout the fifteen residents’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Examples of short term care plans being consistently reviewed and progress evaluated as clinically indicated were noted for infections, skin tears, falls and challenging behaviours.  When necessary, and for unresolved problems, long term care plans are added to and updated.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which expires on 14 March 2019,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that this was an area for improvement. It is now fully attained as the current fire evacuation plan was approved by the New Zealand Fire Service on the 12 September 2016 which included the extension of the dementia unit.  A trial evacuation takes place six-monthly with a copy sent to the New Zealand Fire Service, the most recent being on 04 December 2017 and the next fire drill is scheduled for 27 June 2018 as confirmed in documentation sighted. Fire equipment was checked in July 2017 by an approved provider. The staff orientation programme includes fire and security training.  Staff confirmed their awareness of the emergency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coordinator/registered nurse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Thirty-nine (39) residents and 13 staff consented to having the flu vaccine in April 2018.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16 infections since January 2018.  Surveillance data did not identify any residents who had frequent infections, however residents have been identified with an increased risk of infections due to co-morbidities.  Short term and long-term care planning was sighted showing interventions to reduce and minimise the risk of infection.  Care staff interviewed demonstrated knowledge of residents who have a higher risk of infections and the interventions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two residents were using restraints and three residents were using enablers, which were the least restrictive and used voluntarily at their request. A similar process is followed for the use of enablers as is used for restraints. Consent was sighted in the residents’ files and the six monthly reviews are undertaken by the GP and restraint coordinator with the resident and next of kin.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decreased the use of restraint from December 2017 when they had five restraints and two enablers.</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5"/>
        <w:gridCol w:w="1280"/>
        <w:gridCol w:w="6617"/>
        <w:gridCol w:w="1474"/>
        <w:gridCol w:w="21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service providers confirmed they receive an orientation which covers the essential components of service delivery. Staff stated that they are ‘buddied’ with a senior staff member when they commence ‘on the floor’ and that longer orientation is given should it be required. Of the seven staff records reviewed, two staff who have been employed in the previous two-year period did not have completed orientation records in their staff file. Two of the files reviewed showed that these staff were overdue for their annual performance appraisals. One was due in December 2017 and the other in December 2015. The facility manager was working on developing a spread sheet to identify staff ‘due dates’, so this situation can be better managed.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staff files contained completed orientation information and not all staff annual appraisals are up to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all newly employed staff have a completed orientation and that staff appraisals are undertaken at least annually.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safe administration medication round was observed during the audit.  All required three-monthly GP reviews were up to date.  Five residents had six (in total) short term medications charted on the drug chart however once the medication administered reached its end date the medication had been not signed of as completed by the GP.   Two residents had three (in total) pro re nata (PRN) medications prescribed with no reason stipulated for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medication charts had short term medications signed off by a GP when completed or reason stated for use for in the use of pro rata nata (PRN)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short-term medication once administered and reached its prescribed end date is signed off by the GP.  Pro rata nata (PRN) medication are documented in the medication chart as required to meet medication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that they knew the residents very well and were able to identify and meet their needs.  Residents and family members interviewed stated that they were very happy with the care provided.  There are four interRAI trained registered staff.   The interRAI database identified eight interRAI assessments overdue.  One assessment was due in February, one in April and six in May; however, on further investigation all but three of those interRAI assessments had been commenced but remained in draft as not fully complete.  The three interRAI assessments not yet commenced were due in May.   At the time of audit, nine interRAI assessments are due to be completed for the current month of June.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long term care plans were not up to date.  Two residents admitted in March and May of 2018 had initial short-term care plans but no long-term care plan. Three residents last had their long-term care plans updated in November of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residents had an up to date interRAI assessment or long-term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interRAI assessments and long-term care plans are completed with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Waihi Senior Citizens Home Incorporated - Hetherington House</w:t>
    </w:r>
    <w:bookmarkEnd w:id="58"/>
    <w:r>
      <w:rPr>
        <w:rFonts w:cs="Arial"/>
        <w:sz w:val="16"/>
        <w:szCs w:val="20"/>
      </w:rPr>
      <w:tab/>
      <w:t xml:space="preserve">Date of Audit: </w:t>
    </w:r>
    <w:bookmarkStart w:id="59" w:name="AuditStartDate1"/>
    <w:r>
      <w:rPr>
        <w:rFonts w:cs="Arial"/>
        <w:sz w:val="16"/>
        <w:szCs w:val="20"/>
      </w:rPr>
      <w:t>20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