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Chalmers Elderly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Chalmers Elderly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August 2018</w:t>
      </w:r>
      <w:bookmarkEnd w:id="7"/>
      <w:r w:rsidRPr="009418D4">
        <w:rPr>
          <w:rFonts w:cs="Arial"/>
        </w:rPr>
        <w:tab/>
        <w:t xml:space="preserve">End date: </w:t>
      </w:r>
      <w:bookmarkStart w:id="8" w:name="AuditEndDate"/>
      <w:r w:rsidR="00A4268A">
        <w:rPr>
          <w:rFonts w:cs="Arial"/>
        </w:rPr>
        <w:t>22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Chalmers Elderly Care is part of the Presbyterian Support Central organisation and provides rest home and hospital (geriatric and medical) care for up to 80 residents.  On the day of the audit, there were 68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managed by a facility manager (non-clinical), who is supported by a clinical nurse manager and two registered nurse coordinators.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All eight previous findings around complaints management, corrective actions, human resources management, care planning, evaluations, medication management, maintenance and hot water temperatures have all been addressed.  There were no shortfalls identified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reported that communication with management and staff is open and transparent.  Family are kept informed on residents’ health and notified of any incidents.  A complaints register is maintained.  Concerns and complaints are managed within required timeframes.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The facility manager is responsible for the day-to-day operations of the service and the clinical nurse manager is responsible for the clinical aspects of the service.  Goals are documented for the service.  A quality and risk management programme is documented.  The risk management programme includes internal audits, annual surveys, meetings, collation of quality data,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There is a scheduled training plan in place and a documented orientation programme for new staff and volunteers.  </w:t>
      </w:r>
    </w:p>
    <w:p w:rsidRPr="00A4268A">
      <w:pPr>
        <w:spacing w:before="240" w:line="276" w:lineRule="auto"/>
        <w:rPr>
          <w:rFonts w:eastAsia="Calibri"/>
        </w:rPr>
      </w:pPr>
      <w:r w:rsidRPr="00A4268A">
        <w:rPr>
          <w:rFonts w:eastAsia="Calibri"/>
        </w:rPr>
        <w:t>Registered nursing cover is provided 24 hours a day, 7 days a week.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provision of care.  Assessments, care plans, interventions and evaluations have been completed within the required timeframes.  Residents and family interviewed, confirmed that the residents’ needs/supports were being met.  There is allied health professional input into the resident’s care.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Activities are varied, interesting and meaningful for the residents as evidenced on resident/relative interviews. </w:t>
      </w:r>
    </w:p>
    <w:p w:rsidRPr="00A4268A" w:rsidP="00621629">
      <w:pPr>
        <w:spacing w:before="240" w:line="276" w:lineRule="auto"/>
        <w:rPr>
          <w:rFonts w:eastAsia="Calibri"/>
        </w:rPr>
      </w:pPr>
      <w:r w:rsidRPr="00A4268A">
        <w:rPr>
          <w:rFonts w:eastAsia="Calibri"/>
        </w:rPr>
        <w:t xml:space="preserve">Medications are managed and administered in line with legislation and current regulations.  The general practitioner reviews medication charts at least three monthly.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There is a reactive and planned maintenance programme.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three residents with restraint and four residents with enablers.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has been one outbreak that was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5"/>
        <w:gridCol w:w="1280"/>
        <w:gridCol w:w="103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is a complaint form available at the front entrance.  Information about complaints and advocacy is provided on admission.  Interview with residents and relatives demonstrated an understanding of the complaints process.  Staff interviewed (three RNs and three healthcare assistants – HCA)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on-line complaint register and a paper-based documentation system.  Verbal and written complaints are documented.  There have been six complaints since the last audit in March 2017.  The complaint documentation was reviewed.  All complaints had been responded to in the required timeframes.  The acknowledgment letter provides information on how to contact the Health and Disability Commission (HDC) services.  The previous finding around timeframes and advocacy services has been addressed.  The complaints have been investigated by the service and corrective actions have been put in place where required.  Results are fed back to complainants.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two HDC complaints.  The service has responded to one complaint in November 2017 and awaiting the outcome.  The other HDC complaint from February 2018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confirmed they feel comfortable to bring up any concerns with the manager and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(one hospital level and three rest home residents) and families interviewed (two of hospital level residents),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ensuring full and frank open disclosure occurs.  Fifteen incidents/accidents forms from July 2018 were reviewed.  Accident/incident forms have a section to indicate if family have been informed (or not) of an accident/incident.  All forms reviewed identified family were notified following a resident incident.  Relatives interviewed confirmed that they are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Chalmers Elderly Care is owned and operated by Presbyterian Support Central organisation.  The service provides rest home and hospital level care for up to 80 residents.  There are 10 dual-purpose beds.  On the day of the audit there was a total of 66 residents.  There were 42 rest home residents (including one younger person with intellectual disability under MOH funding and one private paying boarder) and 26 hospital level of care residents (including one resident under ACC contract, one respite care and one younger person under long-term chronic condition contract).  There were six rest home and three hospital level of care residents in the 10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(non-clinical) has been at the facility 20 months.  He has a background in a management role in community mental health and has a Bachelor of Health Science and is an Eden associate.  The manager reports to the regional manager and general manager at head office.  He regularly attends PSC managers’ meetings.  The manager is supported on-site by an experienced aged care clinical nurse manager.  There are two clinical coordinators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Chalmers Elderly Care has a facility specific business plan which links to the organisation’s strategic plan and is reviewed annually in March.  Chalmers philosophy reflects a person/family centred approach.  There is evidence the business plan is being implemented and reported on.   Staff are involved in goal setting and these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completed more than eight hours of professional development relating to the management of an aged care service in the past twelve months including attending the annual PSC managers training/conference.  He is currently completing a diploma in business studies through Careerforce.  The manager and clinical manager attend DHB aged care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Interviews with the manager and clinical nurse manager reflected their understanding of the quality and risk management systems that have been put into place.  The senior management team meets monthly.  Information is fed back to the monthly clinical focused meetings and general staff meetings.  A range of other meetings are held at the facility.  Meeting minutes and reports are available in the staff room for reading.  Quality data including infections, accidents/incidents, health and safety, audit outcomes, quality improvements and complaints/compliments are discussed at meetings and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documented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A document control system to manage policies and procedures is in place.  Staff are required to read and sign policy changes/reviews.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an annual survey, internal audit programme, data collection, analysis and review of adverse events including accidents, incidents, infections, wounds and pressure injuries.  The quality data that is collected is entered on the PSC database and benchmarked against other facilities in the group.  Audit outcomes are discussed, and corrective actions put in place including re-audits for results less than expected including for clinical indicators above the benchmark level.  Opportunities for improvements are identified and corrective actions have been signed out when completed.  The previous finding around corrective actions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which includes two monthly health and safety committee meetings.  The manager is currently the health and safety officer.  There are three health and safety representatives who have completed health and safety training.  There is a current hazard register for the site.  Staff have input into the health and safety meetings, and meeting minutes are available in the staff room.  Three healthcare assistants (HCA) interviewed were knowledgeable in health and safety practice.  Falls prevention strategies are in place including the analysis of falls and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Chalmers is continuing to implement the Eden philosophy and has achieved three out of ten Eden principles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accidents and incidents reporting policy is in place.  Incident/accident forms are completed by staff who either witnessed an adverse event or were the first to respond.  The resident is reviewed by the RN at the time of the event.  Fifteen incident forms (paper-based and on the on-line GOSH register) were reviewed, and all were completed appropriately and in a comprehensive manner.  In the resident files reviewed there was evidence of completed accident/incident forms for that resident, the events were documented in the progress notes and the adverse event had been communicated to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clinical manager confirmed their awareness of the requirement to notify relevant authorities in relation to essential notifications.  There have been two Section 31 notifications (resident related) since the last audit and one notification to the DHB for a norovirus outbreak in June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Relevant checks are completed to validate the individual’s qualifications, experience and veracity, evidenced in the six staff files randomly selected for review (one clinical manager, one clinical coordinator, two healthcare assistants, one registered nurse and one recreational officer).  All files contained a completed orientation and current performance appraisal.  Care staff interviewed stated that they believed new staff were adequately orientated to the service.  Copies of practising certificates are kept on file.  The service has a group of nine volunteers who have all undergone a police vetting check, completed orientations and have signed volunteer agreements in the nine files reviewed.  The previous finding around volunteers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Careerforce assessor who supports health care assistants to complete the New Zealand Certificate in Health and Wellbeing qualifications.  An in-service education programme is being implemented that incudes mandatory training days for RNs and HCAs.  Staff are on the roster to attend the study days, which includes speakers, including the clinical nurse manager and covers the required training.  Individual record of training attendance is maintained.  Records of attendance at the training days demonstrates improved attendance.  The previous finding around staff attendance at training has been addressed.  There is additional education offered though the DHB, hospice and the physiotherapist.  The service has a memorandum of understanding with the DHB for portal training.  Registered nurses are linked to the Enliven professional development recognition programme.  All eight registered nurses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manager and clinical nurse manager work full-time and are on call 24/7.  The registered nurse unit coordinators (rest home and hospital) work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is staffed on a morning shift with a registered nurse and five healthcare assistants (three full shifts and two short shifts).  On an afternoon shift, there is a registered nurse (or an enrolled nurse/senior healthcare assistant) and three healthcare assistants (two on full shifts and one until 9.00 pm).  On nights, there are two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is staffed on a morning shift with a registered nurse on full shift and another RN from 10.00 am to 6.00 pm.  There are six healthcare assistants on the full shift (two per wing) and a short shift HCA (8.30 am to 12.30 pm).  On an afternoon shift, there is one registered nurse and five healthcare assistants (three full shifts and two short shifts).  On nights, there is one registered nurse and one healthcare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There are adequate staffing resources to cater for a change in acuity with the conversion of 10 existing rest home beds to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domestic staff who are responsible for cleaning and laundry services.  There are dedicated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The service uses robotic rolls for regular and ‘as required’ medications.  The medications are checked by the RN on delivery and the first and last sachet signed by the RN as correct.  Medications are stored safely.  Registered nurses, enrolled nurses and senior HCAs who administer medications have completed medication competences and education on an annual basis.  There are weekly checks of the hospital stock and emergency supplies for expiry dates.  Medication fridges are monitored weekly.  All eyedrops had been dated on opening.  There were no standing orders.  There was one rest home resident self-medicating with a current self-medication assessment that had been reviewed three 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resident’s medication charts (six hospital and six rest home care) were sighted on the electronic medication system.  All prescribing of regular and ‘as required’ medications met legislative requirements.  The general practitioners review medication charts at least three-monthly.  Medication administration was compliant, as observed on the day of audit.  The previous finding around medication administration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the main kitchen.  Meals are transported in bain maries to the rest home, hospital and upstairs kitchens.  There is a five-weekly rotating winter menu in pace that has been reviewed by a PSC dietitian.  The senior cook is supported by morning and afternoon service workers.  The main meal is changing over to dinner time.  The senior cook (interviewed) confirmed resident nutritional profiles are received and dislikes accommodated.  Currently there are no special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cooks and kitchenhands have completed food safety and hygiene training.  End cooked, cooling, bain marie temperatures, fridge and freezer temperatures are monitored and recorded daily.  Cleaning schedules are maintained.  The food control plan has been verified 23 January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 the opportunity for resident feedback on the meals and food services generally.  Residents and family members interviewed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long-term care plans reviewed described the support required to meet the resident’s physical, emotional, recreational, cultural, and goals and needs.  Short-term care plans are used to guide staff in the delivery of care for changes to health.  Long-term care plans had been updated with changes to care.  The interRAI assessment informs the development of the resident’s care plan.  Discharge summaries and allied health input was documented in the care plans.  Interventions for falls prevention, pressure injury prevention, weight loss and challenging behaviours are included in the long-term care plans.  Three care plans of residents with restraint were reviewed, and documented interventions to manage the risks.  The previous finding around care plan documentation/interventions has been addressed.  Care staff interviewed were familiar with residents’ current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or nurse specialist consultation.  The family members confirmed on interview they are notified of any changes to their relative’s health including (but not limited to): accidents/incidents, infections, health professional visits, changes in medications and challenging behaviours.  Discussions with family members are documented in the health summary status notes and identified with a family contact stamp.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assessments, treatment and evaluations were in place for residents with current wounds.  There were three residents with pressure injuries.  Two were community acquired (one stage one and one stage two) and one facility acquired   stage two pressure injury.  The service has sufficient pressure injury equipment in place.  There is evidence of DHB wound nurse specialist involvement in the treatment of chronic wounds and pressure injuries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for unintentional weight loss.  Nutritional requirements and assessments are completed on admission identifying resident nutritional status.  Monitoring forms used include (but not limited to); blood pressure monitoring, behaviours, restraint, blood sugar levels, food and fluid, neurological observations, two hourly turns, pain monitoring and monthly weights.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urinary continence assessment, bowel management and continence products identified for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recreational team leader who coordinates and oversees the activities programme.  She has been in the role a year and previously was an occupational therapist.  She is supported by two other recreational staff members and the team work a four day on, two day off roster to cover the seven-day week programme from 10.30 am to 3.30 pm in the rest home and the hospital.  There are two recreational staff on each day.  There are separate programmes for rest home and the hospital.  The Eden philosophy is implemented, and residents’ skills and abilities are celebrated and valued within the programme.  The rest home programme provides word games, floor games, exercises and newspaper reading.  The hospital programme includes less physical exercises, hand therapy and one-on-one activities.  There are volunteers involved in the programme including assisting on outings.  Activities are integrated such as happy hours with entertainment, church services and movies.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Eden “tree of life” in their resident fie.  The activity plan is based on companionship, usefulness, emotion, well-being and communication and is evaluated at the same time as the care plan. </w:t>
              <w:tab/>
              <w: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an opportunity to feedback on the programme through resident meetings and surveys.  Residents and families interviewed reported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of permanent residents had been evaluated by a registered nurse within three weeks of admission.  A short-stay assessment and support plan was in place for the respite care resident.  Long-term care plans have been reviewed at least six-monthly or earlier for any health changes.  Reassessments have been completed using interRAI for residents who have had a significant change in health status.  Short-term care plans reviewed, evidenced they had been evaluated and either resolved or added to the long-term care plan if the problem is ongoing.  Written evaluations document progress against the resident goals.  The previous finding around evaluations has been addressed.  The resident/relative are involved in the care plan evaluations.  The GP reviews the resident at least three monthly.  Ongoing nursing evaluations occur daily/as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18 October 2018.  There is a reactive and planned maintenance programme that includes testing and tagging of electrical equipment and monitoring of hot water temperatures in resident areas.  There is ongoing refurbishment as required.  The flooring of two bathrooms (WC one and WC two) has been replaced.  The previous finding around the bathrooms has been addressed.  The property manager (interviewed), confirmed corrective actions had been taken for hot water temperatures above 45 degrees Celsius.  Monitoring records were sighted and evidenced all hot water temperatures had been stable around 45 degrees Celsius.  The previous finding around hot water temperatures has been addressed.  The residents were observed to be safely accessing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at PSC Chalmers.  Internal infection control audits also assist the service in evaluating infection control needs.  A monthly collation of infections, trends and analysis including microbiology results is completed on the GOSH register.  Corrective actions for events above the benchmarking KPIs is reported to the senior management team and clinical meetings.  Meeting minutes and graphs are displayed in the staff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outbreak in June 2018.  Relevant authorities were notified.  A letter from the public health confirmed the outbreak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There is a restraint policy in place that states the organisations philosophy to restraint minimisation.  The policy identifies that restraint is used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hospital residents were using restraints (two bedrails and one low bed) and four hospital residents were using enablers (three bedrails and one lap belt).  An assessment was completed, and voluntary consent was provided by the residents for the use of the enablers.  Staff interviews confirmed their understanding of the differences between a restraint and an enabler.  Staff receive regular training around restraint minimisation that begins during their induction to the service and ongoing as part of the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Chalmers Elderly Care</w:t>
    </w:r>
    <w:bookmarkEnd w:id="58"/>
    <w:r>
      <w:rPr>
        <w:rFonts w:cs="Arial"/>
        <w:sz w:val="16"/>
        <w:szCs w:val="20"/>
      </w:rPr>
      <w:tab/>
      <w:t xml:space="preserve">Date of Audit: </w:t>
    </w:r>
    <w:bookmarkStart w:id="59" w:name="AuditStartDate1"/>
    <w:r>
      <w:rPr>
        <w:rFonts w:cs="Arial"/>
        <w:sz w:val="16"/>
        <w:szCs w:val="20"/>
      </w:rPr>
      <w:t>21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