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Rangiura Trust Board - Rangiura Rest Home &amp;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Rangiura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Rangiura Rest Home &amp;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August 2018</w:t>
      </w:r>
      <w:bookmarkEnd w:id="7"/>
      <w:r w:rsidRPr="009418D4">
        <w:rPr>
          <w:rFonts w:cs="Arial"/>
        </w:rPr>
        <w:tab/>
        <w:t xml:space="preserve">End date: </w:t>
      </w:r>
      <w:bookmarkStart w:id="8" w:name="AuditEndDate"/>
      <w:r w:rsidR="00A4268A">
        <w:rPr>
          <w:rFonts w:cs="Arial"/>
        </w:rPr>
        <w:t>17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Rangiura Rest Home and Retirement Village (Rangiura Home) provides rest home, dementia and hospital level care for up to 81 residents. The service is operated by Rangiura Trust Board and managed by a general manager with support from two clinical leads. An acting general manager has been in place since June this year. A new policy and procedure system is being introduced.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the nurse practitioner and a general practitioner.  Residents and families spoke positively about the care provided</w:t>
      </w:r>
    </w:p>
    <w:p w:rsidRPr="00A4268A">
      <w:pPr>
        <w:spacing w:before="240" w:line="276" w:lineRule="auto"/>
        <w:rPr>
          <w:rFonts w:eastAsia="Calibri"/>
        </w:rPr>
      </w:pPr>
      <w:r w:rsidRPr="00A4268A">
        <w:rPr>
          <w:rFonts w:eastAsia="Calibri"/>
        </w:rPr>
        <w:t xml:space="preserve">This audit has resulted in nine areas requiring improvement in relation to staffing, performance appraisals, assessment, planning, activities, food storage, chemicals and restraint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is used to identify and deliver ongoing training.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general practitioner and/or nurse practitioner, assess residents’ needs on admission.  Care plans are individualised, based on a comprehensive range of information.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 Communal and individual spaces are maintained at a comfortable temperature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Seven enablers and eight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02"/>
        <w:gridCol w:w="1280"/>
        <w:gridCol w:w="94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and were evidenced in all residents’ files reviewed, including enacted enduring power of attorney documents for the five residents’ files reviewed residing in the dementia unit.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diversional therapist interviewed stated that the residents’ meetings are facilitated by an external person from the local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 and friends. Family members interviewed stated they felt welcome when they visited and comfortable in their dealings with staff.   The facility has lounges and different sitting areas inside and out that families can access when visiting.  There is also a whanau room with kitchenette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what to do if they had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seven complaints have been received over the past year and that actions taken, through to an agreed resolution, are documented and completed within the timeframes.  Action plans showed any required follow up and improvements have been made where possible.  The GM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as part of the admission information/agreement provided and discussions with staff.  The Code is displayed in several areas of the facility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participation in clubs of their choosing and going out with family.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 clinical nurse administrator interviewed reported that there is one resident who affiliates with their Maori culture. There are no barriers in supporting residents who identify as Māori.  There is a specific current Māori assessment health plan, all values and beliefs are acknowledged with the support of the Te Whare Tapa Wha model and evidenced throughout the residents long-term care plans.  Support is available from cultural advisers within the local community as required.  Guidance on tikanga best practice is available and is supported by staff who identify as Māori in the facility.  Whanau were not available for interview, however the Māori resident interviewed reported that staff acknowledged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 and there is an increase in resident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hospice/palliative care team, diabetes nurse specialist, wound care specialist, psychogeriatrician and mental health services for older persons, and education of staff. The general practitioner (GP) and nurse practitioner (NP)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knocking on doors before entering residents’ rooms and observations of day to day discussions between staff, residents and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able to speak English, staff able to provide interpretation as and when needed and the use of family members.  There were four residents identified who had a significant sensory impairment and appropriate resources and equipment were observed to support the resident which included the use of a talking books, updated hearing aids and support from the hearing association to assist with communication.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Rangiura Rest Home is operated by the Rangiura Trust Board who also operate a retirement village on the same site in Putaruru. The Trust Board was established in 1978 and the Rest Home opened in 1981. The service holds contracts with Waikato District Health Board for respite, rest home and hospital (geriatric) care up to a maximum of 81 residents. At the time of audit there were 74 residents receiving services under the contract. Twenty three were assessed as requiring hospital level care, 34 as rest home (including four respite) and 15 residents were in the dementia unit. There were no residents under the age of 65 years. People living in the village do not receive care services. </w:t>
            </w:r>
          </w:p>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described annual and longer term objectives and the associated operational plans. A sample of monthly reports to the board showed adequate information to monitor performance is reported including financial performance, emerging risks and issues. Rangiura is part of the Community Trust Care Association (CTCA) group. CTCA is a business entity comprising nine aged care facilities who share common factors, such as being located rurally and governed by not for profit organisations.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currently overseen by an acting GM who holds relevant qualifications and has been in the role for six weeks. The organisation is currently recruiting for a permanent replacement. Responsibilities and accountabilities for the role are defined in a job description. The GM confirms knowledge of the sector, regulatory and reporting requirements and maintains currency through engagement with the aged care sector and by attending conferences and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GM is absent, the role is shared between senior staff and the chairperson of the Trust. The two clinical leaders cover for each other and any other absent RNs. Both clinical leaders are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reporting and tracking of infections and restraint events, scheduled internal audits, regular resident and relative satisfaction survey and monitoring of outcomes.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a variety of management team, quality and risk team meetings and staff meetings. Staff reported their involvement in quality and risk management activities through audit activities and feedback from quality analysis. Graphs showing the prevalence of falls and when these occur are displayed in the staff room. Quality data was being benchmarked with the eight other age care facilities in the CTCA group; this is now being benchmarked with a much larger nationwide group. Where necessary corrective actions are developed and implemented to address any shortfalls. Resident and family satisfaction surveys are completed annually. The most recent survey revealed a lower (62%) than national average (80%) rating for food services.  Immediate actions have been taken to improve food services, such as appointing a new food services manager, and reviewing and amending the menus. The feedback from family and residents has improved.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understands the processes for the identification, monitoring, review and reporting of risks and development of mitigation strategies. Staff and the manager are familiar with the Health and Safety at Work Act (2015). A dedicated health and safety team under the guidance of a health and safety coordinator work to meet the requirements. There have been no reports to Worksafe NZ in this audit period.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new system for reporting accident/incidents was introduced in June. All adverse and near miss events are entered in to an electronic system which immediately alerts the GM, clinical leaders and the chairperson of the trust if the level of risk is critical or major. The new system collates the most common time and place of events, allowing quick analysis for trending. Summary of the past two months show falls make up the majority of events, and that these occur in resident’s bedrooms between 11am and 4pm. Preventative measures such as half hourly monitoring and pre-emptive toileting at peak times have been instigated. A sample of incidents forms reviewed showed who had been notified, that the incidents were being investigated, and that actions are being followed-up in a timely manner. All adverse event data is collated, analysed and reported to the board and all staff at their monthly meetings. The data is also being benchmarked nationally.</w:t>
            </w:r>
          </w:p>
          <w:p w:rsidR="00EB7645" w:rsidRPr="00BE00C7" w:rsidP="00BE00C7">
            <w:pPr>
              <w:pStyle w:val="OutcomeDescription"/>
              <w:spacing w:before="120" w:after="120"/>
              <w:rPr>
                <w:rFonts w:cs="Arial"/>
                <w:b w:val="0"/>
                <w:lang w:eastAsia="en-NZ"/>
              </w:rPr>
            </w:pPr>
            <w:r w:rsidRPr="00BE00C7">
              <w:rPr>
                <w:rFonts w:cs="Arial"/>
                <w:b w:val="0"/>
                <w:lang w:eastAsia="en-NZ"/>
              </w:rPr>
              <w:t>The GM understands essential notification reporting requirements, including for pressure injuries. There have been two notifications of significant events made to the Ministry of Health, since the previous audit. Both were police investigations related to an intruder and theft on site. Two out breaks of norovirus were reported to public health in September 2017 and May 2018. The September outbreak affected more residents and staff than the May outbreak which was contained within seven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followed by an initial performance review. Annual performance appraisals are overdue.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Records reviewed demonstrated completion of the required training. Only care staff who are progressing or have achieved level 4 qualifications are rostered on for work in the dementia unit. The clinical leaders are maintaining annual competency requirements to undertake interRAI assessments. Four other staff including an EN and the physiotherapist have completed their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Observations and review of a four-week roster cycle confirmed adequate staff cover in all areas is being provided, but an improvement is required concerning the whereabouts of staff in the dementia unit and at shift handover times. Current staffing levels are safe, as determined by the acuity of residents against the EAP formula. On the week of audit there were 392 hours of RNs and 1321.5 hours of health care assistants per week.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their workload as heavy but said there were adequate staff available to complete the work allocated and that staff were replaced in the event of absences. Residents and family interviewed supported this. At least one staff member on duty has a current first aid certificate and there is 24/7 RN coverage in the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GP/NP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(DSL) Service.  Residents requiring dementia level care have been assessed by a specialist.  Prospective residents and/or their families are encouraged to visit the facility prior to admission and are provided with written information about the service and the admission process.  The organisation seeks updated information from DSL, and the GP/NP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Admissions agreements were sighted for residents admitted to the dementia unit, the files reviewed had their admission agreements signed by the residents enacted enduring power of attorney.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the required documentation and communication between the facility, resident’s family, ambulance service and acute hospital setting.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paper-based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who has been employed for five months and a kitchen team and is in line with recognised nutritional guidelines for older people.  The menu follows summer and winter patterns.  A new menu has been introduced to the facility and was reviewed by a qualified dietitian in August of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transportation, delivery and disposal comply with current legislation and guidelines, with the exception of some food sighted which was not stored and labelled appropriately.   The service has a food safety plan and is currently utilising the generic food care plan templates.  The facility is registered with the South Waikato District Council and the certificate has expired in June 2018.  Email communications sighted showed evidence that payment has been made by the facility in March 2018 and this has been acknowledged by the council, however the facility is still awaiting an updated registered certificate and visit from the council to approve the current food plan.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increased resident satisfaction with meals was verified by resident and family interviews, satisfaction surveys and resident meeting minutes (see standard 1.2.3). Residents were seen to be given sufficient time to eat their meal in an unhurried fashion and those requiring assistance had this provided.   The health care assistant was observed prior to lunch in the main dining room ringing a bell and informing/reminding residents of the meal been provided, activities for the day and ended with a prayer.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DSL is advised to ensure the prospective resident and family are supported to find an appropriate care alternative. If the needs of a resident change and they are no longer suitable for the services offered, a referral for reassessment to the DSL is made and a new placement found, in consultation with the resident and whānau/family; however, this is not always occurring as needed (please see criterion 1.3.4.2).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and nutritional screening, to identify any deficits and to inform care planning. The sample of care plans reviewed had an integrated range of resident-related information.  All residents, except for one assessment in draft, have current up to date interRAI assessments completed by one of six trained interRAI assessors on site. This includes the clinical nurse leader, clinical nurse administrator and physiotherapist. Residents and families confirmed their involvement in the assessment process.  At the time of audit two residents in the dementia unit and one resident in the rest home are requiring two staff to assist for all daily activities of living and mobility.  Also noted was one resident in the dementia unit who is acutely unwell and currently also requires two staff to assist for all daily activities of living and mobility and transfers.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The five residents files reviewed in the dementia unit had behaviour management plans integrated throughout the long term care plans that included triggers and interventions for behaviours but this information was not identified over a 24 hour clock period (see criterion 1.3.7.1). </w:t>
            </w:r>
          </w:p>
          <w:p w:rsidR="00EB7645" w:rsidRPr="00BE00C7" w:rsidP="00BE00C7">
            <w:pPr>
              <w:pStyle w:val="OutcomeDescription"/>
              <w:spacing w:before="120" w:after="120"/>
              <w:rPr>
                <w:rFonts w:cs="Arial"/>
                <w:b w:val="0"/>
                <w:lang w:eastAsia="en-NZ"/>
              </w:rPr>
            </w:pPr>
            <w:r w:rsidRPr="00BE00C7">
              <w:rPr>
                <w:rFonts w:cs="Arial"/>
                <w:b w:val="0"/>
                <w:lang w:eastAsia="en-NZ"/>
              </w:rPr>
              <w:t>Short and long-term care plans reviewed did not always reflect the support needs of residents, and the outcomes of the integrated assessment process and other relevant clinical information. The needs of the residents were not always identified in the interRAI assessments and then reflected in care plans reviewed (see also criterion 2.2.1).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verified the provision of care provided to residents was consistent with their needs, goals and verbalised plan of care that occurred in handover, but information was not always outlined in the documentation (see criterion 1.3.4.2 and 1.3.5.2).  The GP and NP interviewed, verified that medical input is sought in a timely manner, that medical orders are followed, and the care provided is holistic and excellent. A range of equipment and resources was available, suited to the level of care provided and in accordance with the residents’ needs.  Residents and families interviewed stated that they were happy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currently provided by two trained diversional therapists holding the national Certificate in Diversional Therapy and two regular volunteers. A third  diversional therapist co-ordinator recently resigned, leaving in July 2018.  The residents are supported Monday to Friday from 10.00 am to 5.00 pm.  The two diversional therapists rotate weekly and support the residents in the dementia unit Monday to Friday from 10.00 am to 5.00 pm.  The facility supports day stay residents who are supported by the care staff and diversional therapists when on site.  The driver for the facility picks them up from their home in the morning and the diversional therapist based in the rest home/hospital area drives the day stay residents back to their homes each day between 3.00 pm and 4.00 pm.  There is a room set aside at the facility if a day stay resident requires a bed to rest.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daily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registered with the Eden Alternative programme and has incorporated the Eden Alternative into their philosophy and mission statement, the diversional therapists interviewed stated that only seven of the ten principles are followed. This was also confirmed by the acting general manager.  Activities reflected residents’ goals, ordinary patterns of life and included normal community activities. Individual, group activities and regular events are offered.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families/whanau are involved in evaluating and improving the programme through residents’ meetings and satisfaction surveys. Residents interviewed confirmed they find the programme interactive.  The residents are supported by an independent advocate from the local community who also attends the residents’ meetings.</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are offered at times when residents are most physically active and/or restless.  This includes reminiscing and craft activities. Residents’ files reviewed did not show evidence of 24 hour behaviour clock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These updates do not always occur as residents’ needs change.  Where progress is different from expected the service does not always respond by initiating changes to the plan of care.  Examples of short term care plans being consistently reviewed, and progress evaluated as clinically indicated were noted for infections and wounds; however, for unresolved problems, long term care plans did not have this information included (see criterion 1.3.5.2).  Residents and families/whānau interviewed provided examples of involvement in evaluation of progress and any resulting changes and stated that they were happy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and nurse practitioner, residents may choose to use another medical practitioner. If the need for other non-urgent services are indicated or requested, the GP/NP or RN sends a referral to seek specialist input.  Copies of referrals were sighted in residents’ files, including to plastic surgery, surgical and urology teams and mental health services.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07 December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Regular inspections are carried out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shared ensuite rooms in one wing and staff/visitor toilets. Appropriately secured and approved handrails are provided in the toilet/shower areas, and other equipment/accessories are available to promote residents’ independence. Hot water is moderated by tempering valves and temperatures are tested weekly. The records of these revealed that temperatures are kept within a safe range.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bedroom provides enough space for residents and staff to move around safely. The bedrooms are for single accommodation, except for one room being shared by a couple. Rooms are individualised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room throughout the facility to store mobility aids, wheel chairs and mobility scooters. Staff and residents were satisfied with the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facility is spread across four different wings that each have a small lounge with comfortable seats and books available for quiet time. Residents are served meals in three different dining areas. Most use the large dining room which has a smaller dining area set up adjacent to it and there is a separate dining room in the new wing. All are within easy walking distance from bedrooms. A choice of good sized lounges are available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provides a large open lounge, separated by a semi wall with designated dining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washed and dried on site in a designated laundry by dedicated laundry staff who are employed seven days a week.  The laundry staff interviewed demonstrated a good knowledge about safe and hygienic processes, using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 team of cleaners receive ongoing support and training from a household manger and have completed an NZQA Level 2 qualification in cleaning. This was confirmed in interview with cleaning staff and review of training records. When not in use, cleaning chemicals were stored in a lockable cupboard and were in appropriately labelled containers. There is an improvement required in the secure unit (Fern Haven) where a cleaning trolley was observed to be left unattended.</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by the visiting chemical supplier weekly.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fully equipped civil defence kit is easily accessible on site and its contents checked regularly. There is sufficient food and water available for a maximum of 81 residents for five days in the event of a civil defence emergency. An onsite generator is available for use during power outages. This and the emergency lighting is checked for functionality monthly. Gas ovens and barbeques are available for cooking if there is no electricity. Surplus blankets are stored for warmth.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A trial evacuation takes place six-monthly with a copy sent to the New Zealand Fire Service, the most recent being on 22 February this year.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Residents and families reported staff respond promptly to call bells and this was observed.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There are security stays on all windows, doors are locked at a predetermined time and a security company patrols the premises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electricity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the pharmacist, GP, NP and population health.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administrator/registered nurse is the designated IPC coordinator, whose role and responsibilities are defined in a job description. Infection control matters, including surveillance results, are reported monthly to the general manager, all staff, and tabled at the quality/risk committee meeting.  This committee includes the general manager, IPC coordinator, clinical nurse leader,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seven years.  She has undertaken regular training in infection prevention and control and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2018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An example of this occurred when the facility had gastroenteritis outbreaks in September 2017 and May 2018.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coordinator/registered nurse reviews all reported infections, and these are documented.  New infections and any required management plans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IPC and reported to the staff.   In May of 2018, 56 residents and 21 staff consented to the flu vaccine.  Nine residents consented to the shingles vaccine and 12 residents also consented to the pneumovac vaccine.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116 infections since February 2018.  The residents’ files reviewed did not always highlight short term care plans and long-term care plans did not evidence residents who frequently had infections and interventions to reduce and minimise the risk of infections (please see criterion 1.3.5.2).   Care staff interviewed demonstrated knowledge of residents who have a higher risk of infections and the interventions required.  Data is benchmarked externally within the group. </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two recent gastrointestinal infection outbreaks in September 2017 where 52 residents and 38 staff were effected, and in May 2018 where 10 residents and eight staff were effected, was reviewed and demonstrated a thorough process for investigation and follow up.  Learnings from the events have now been incorporated into practice, with additional staff education implemented.   The ten residents effected were not included in the May 2018 monthly surveillance results.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full time employed physiotherapist is the restraint coordinator. This person provides support and oversight for enabler and restraint use and demonstrated a good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eight residents were using lap belts and bed rails as restraints and seven residents were using the same voluntarily at their request as enablers.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which comprises the physiotherapist/coordinator, both clinical leaders, a diversional therapist and either the GP or nurse practitioner, are responsible for approving use of restraints and the overall restraint process. The group meet at least every six months. Review of restraint approval group meeting minutes, and interviews with the coordinator confirmed clear lines of accountability, that all restraints had been approved, and that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family/whānau/EPOA involvement in the decision making was seen in the consent and assessment forms for each restraint. The use of a restraint or an enabler is not reliably documented in each plan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restraint coordinator who is a registered physiotherapist undertakes the initial assessment with sign off by an RN, and input from the resident’s family/whānau/EPOA. The restraint coordinator interviewed described the documented process. Families confirmed their involvement. The general practitioner or the nurse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for example,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register is maintained and updated as required. This is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understand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six monthly. The previous system in use for reviewing individual use, included many of the aspects expected for an overall quality review which were not relevant to the individual. The individual evaluation/review process has now been modified to ensure it focuses on the person. Information about the restraints in use were missing from interRAI long term care plans and there is an improvement required related to this in standard 2.2.1.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undertakes a six-monthly review of all restraint use which includes all the requirements of this standard. Interview with the restraint coordinator, minutes of these meetings and the results of internal audits confirmed that monitoring and quality review of overall restraint use is occurring.  The review considers the amount and type of restraint use in the facility, whether all alternatives to restraint have been considered, the effectiveness of the restraint in use, the competency of staff and the appropriateness of restraint / enabler education and any feedback from the GP/nurse practitioner, staff and families. Any changes to policies, guidelines, education and processes are implemented if indicated.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714"/>
        <w:gridCol w:w="1581"/>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is planned annually and includes mandatory subjects such as infection control, emergency management and consumer rights. Individual attendance at education and those requiring ongoing competency is monitored by the training coordinator who follows up on staff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said changes in some key staffing positions (kitchen/DT/management) had interfered with the timing of completing performance appraisals.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ten staff files sampled showed that performance appraisals were overdue.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staff engage in regular performance appraisals.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common area in the secure unit were observed as unattended for at least four minutes, while two staff were attending to one resident and the other was occupied elsewhere.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left unattended in the common area in the secure unit for at least four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care staff were on the floor in the hospital /rest home wings for 20 minutes during afternoon handover.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at least one staff member with residents at all times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Rearrange staff hours of duty to ensure cover in the hospital/rest home area during shift hand over times.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procurement, production and preparation comply with current legislation and guidelines.  The cook interviewed was aware of the guidelines.  Not all food in the fridge and chiller of the main kitchen or the kitchenette in the dementia unit had food covered or dated or appropriately placed.  On the day of audit, the fridge in the main kitchen was observed to have ‘fortisip’ made with the 13 August 2018 date.  The chiller had cooked and raw meat placed on higher shelves above other food.  The chiller also had defrosted chicken pieces in an open bag that was not labelled or dated and was sitting in a tray on the floor of the chiller in a pool of its liquid.  The kitchenette fridge in the dementia unit had an opened tin of condensed milk with no opened date, the remaining contents in the tin appeared to of expired.  There was a container with fruit salad also in the fridge that was not labelled and/or dated.  There was food in the dry stores that had been repacked in new containers; these containers were labelled but did not have dates on them (eg, bread crumbs, golden syrup).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food in the fridges, chiller and dry stores are stored appropriately or have expiry dates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that storage of food complies with current legislation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1.3.3.1</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undertaken by suitably qualified and/or experienced service providers who are competent to perform the function.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physiotherapist has been formally trained to complete interRAI assessments.  The physiotherapist interviewed stated that when completing residents’ long-term care plans they gather information from the residents’ interRAI assessments, from progress notes and discussions with other staff.  The clinical nurse administrator and clinical nurse leader interviewed confirmed that any care plans developed by the physiotherapist are discussed with her. There was no documented evidenced at the time of audit that this discussion occurs and the care plans are supported and signed off by a registered nurse.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evidence that the long-term care plans created by the physiotherapist are signed off by a registered nurse.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 registered nurse agrees to and signs of all resident care plans as per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are seen by the GP or NP regularly and as their needs change, evidence of changes for the resident were sighted in the resident’s progress notes and regular physiotherapy assessments and updates.  Information to support residents who are at high risk of falling were seen in the resident’s long-term care plans, mobility and transfer plans and daily activity summaries in each of the resident’s rooms.  ‘High falls’ signs are also sighted on residents’ doors.  The residents and families interviewed stated that they were happy with the communication and care provided.  Six of 15 residents’ files reviewed (three residents from the dementia unit, two from the hospital and one resident from the rest home), had a total of 27 unwitnessed falls between January 2018 and the day of audit.  An incident form is completed, an assessment is completed by a registered nurse which includes the taking of basic vital observations and a physical assessment to check for injury; however, neurological observations are not completed.    One resident had nine unwitnessed falls between April 2018 to August 2018, one resident had four unwitnessed falls between February 2018 to June 2018, one resident had two unwitnessed falls between February 2018 and June 2018.  One resident had one syncope and three unwitnessed falls, two of those three falls resulted in the resident sustaining two separate fractures, requiring a transfer to an acute hospital setting. One resident had five unwitnessed falls between May 2018 and August 2018, one resident had four unwitnessed falls between January 2018 and June 2018.</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administrator, clinical nurse leader and NP interviewed stated that they are aware of the changes and increased level of care and interventions required by staff to support residents.  Staff interviewed confirmed the level of care required to support the residents with mobility and daily activities of living and that this was also discussed at handover.  Evidence of the needs required by the residents and changes were sighted in the resident’s progress, physiotherapy GP and NP notes, but there is no evidence of discussions occurring re residents requiring a change in level of care due to a deterioration in the resident’s wellbeing.</w:t>
            </w:r>
          </w:p>
          <w:p w:rsidR="00EB7645" w:rsidRPr="00BE00C7" w:rsidP="00BE00C7">
            <w:pPr>
              <w:pStyle w:val="OutcomeDescription"/>
              <w:spacing w:before="120" w:after="120"/>
              <w:rPr>
                <w:rFonts w:cs="Arial"/>
                <w:b w:val="0"/>
                <w:lang w:eastAsia="en-NZ"/>
              </w:rPr>
            </w:pPr>
            <w:r w:rsidRPr="00BE00C7">
              <w:rPr>
                <w:rFonts w:cs="Arial"/>
                <w:b w:val="0"/>
                <w:lang w:eastAsia="en-NZ"/>
              </w:rPr>
              <w:t>One resident admitted to the dementia unit in June of 2016 has had a deteriorated in health.  Progress and physiotherapy notes identify that the resident had a fall at the beginning of July and since then the resident remains non-weight bearing and has required two staff for all mobility and daily activities of living.  The resident requires a hoist for all transfers and support with regular repositioning and turning overnight.  The resident is also requiring the regular intervention of a tens machine for pain.  The resident is regularly seen by the GP and NP.  Family were not available to be interviewed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One resident was admitted to the facility in July of 2014 and now resides in the dementia unit.  Progress and physiotherapy notes identify that the resident at the beginning of June 2018 was requiring one staff member to assist getting in and out of bed, to walk, stand and required support with eating.  In the afternoons, the resident requires the support of two staff to walk and required support with regular repositioning and turning overnight.  At the time of audit, the resident was not walking and required the support of two staff for all mobility and daily activities of living.  The resident is regularly seen by the GP and NP. Communication sighted in the resident’s notes evidenced that the family are happy with the care and have expressed that they want their family member to remain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One resident admitted to the rest home in April of 2018 has deteriorated in health.  Progress and physiotherapy notes identify that the resident was independent with transfers at time of admission but in June of 2018 is now requiring two staff to transfer and in July of 2018 now requires a standing hoist for all transfers and mobility and the support of two staff for all daily activities of living.  The resident has been seen regularly by the GP and NP for two unresolved infections, nine falls since admission and being nocturnal.  The resident now requires the support of a restraint.  Communication sighted in the resident’s notes evidenced the family are notified of all changes and events and are happy with the care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insufficient evidence that neurological observations are being completed for residents with unwitnessed falls.  Re-assessments of residents who are showing signs of change is not occurring within a reasonable timeframe.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that assessments of residents occurs according to best safe practice and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been seen by the GP and/or NP as needs or changes have occurred.  Information about the changes in care for residents is discussed at staff handover, noted on the handover sheets and sighted on the whiteboard in the treatment rooms.  Residents and families interviewed were happy with the care and communication provided by staff.    Five of 15 residents’ files reviewed identified that one resident had five infections from January 2018 to July 2018, one resident had two infections from May 2018 to July 2018, and one resident had two infections from June 2018 to July 2018.  One resident had six infections from February 2018 to July 2018.  One resident had two unresolved infections that required three courses of antibiotics each time between April 2018 and July 2018.   The short-term care plans had all been evaluated and closed. The information had not been transferred to a long-term care plan to acknowledge the multiple episodes of infections and to reduce and minimise the risk of ongoing infections. </w:t>
            </w:r>
          </w:p>
          <w:p w:rsidR="00EB7645" w:rsidRPr="00BE00C7" w:rsidP="00BE00C7">
            <w:pPr>
              <w:pStyle w:val="OutcomeDescription"/>
              <w:spacing w:before="120" w:after="120"/>
              <w:rPr>
                <w:rFonts w:cs="Arial"/>
                <w:b w:val="0"/>
                <w:lang w:eastAsia="en-NZ"/>
              </w:rPr>
            </w:pPr>
            <w:r w:rsidRPr="00BE00C7">
              <w:rPr>
                <w:rFonts w:cs="Arial"/>
                <w:b w:val="0"/>
                <w:lang w:eastAsia="en-NZ"/>
              </w:rPr>
              <w:t>Four of 15 residents’ files reviewed showed evidence of information about the residents required care throughout the progress notes and/or physiotherapy assessment. This information was not always supported in a short and/or long-term care plan as the need required.  One resident requires an eye patch and daily wound care to the effected eye and did not have an initial short term, long term care plan or a wound management plan.   One resident discharged from an acute setting following a fall at the facility on the 21 June 2018 did not have an initial short term or long- term care plan to support the resident’s unstable fractures, pain and mobility and rehabilitation that is currently required and is ongoing.  One resident requiring prophylactic antibiotics for an ongoing infection had this information identified in the interRAI, but this was not sighted in a long-term care plan.  One resident requiring antibiotics in August 2018 in the dementia unit for an infection does not have a short-term care plan.  The clinical nurse leader, clinical nurse administrator and staff interviewed stated that they were aware of the requirements for the residents, residents were discussed at handover but acknowledged the required information was not documented.  Residents and families interviewed stated that they were happy with the care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15 residents’ files reviewed did not have initial short-term care plans developed in every acute situation, and not all information in the short-term care plans for the remaining six residents’ files reviewed is then transferred to long term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residents’ interim and changing needs are documented in short and long-term care plans as per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residents’ files reviewed had challenging behaviours that identified the behaviour, intervention and outcome in the progress notes.  Long term care plans also identified the challenging behaviours of the resident.  Staff interviewed stated that they knew the residents very well and were able to identify and meet their needs.  Residents and families confirmed their involvement in the assessment process and care provided.   The five residents admitted (one in July 2006, one in April 2013, one in July 2014 and two in June 2016), did not evidence a 24-hour behaviour clock to support challenging behaviours for the resident over a 24-hour period.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five residents’ files reviewed in the dementia unit did not have a 24-hour behaviour clock plan to support challenging behaviour.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residents in the dementia unit have a 24-hour challenging behaviour plan to meet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Inspection of all areas throughout the audit revealed that cleaning staff stay close to their cleaning trolleys and put these away when not in use. The chemical supply room in the main building is secured by keypad entry as is the cleaning room in the dementia unit. Care was taken to pack away vacuum cleaners when unattended. During interview staff said they had been instructed to not take their trolleys into bedrooms. The cleaning trolley with chemicals on top was left in a corridor of the dementia unit for several minutes and no staff were in the area.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cleaning trolley with chemicals was left unobserved and within easy reach of the residents in the secure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steps are taken to prevent confused residents from accessing cleaning chemicals.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2.2.1.1</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restraint process and approval is clearly defined and there are clear lines of accountability for restraint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about manual handling, mobilisation and use of restraint or enablers are provided in the ‘wardrobe plans’ in each resident’s bedroom. This is not reliably included in the interRAI long term care plans (in 8 of 15 files reviewed) which poses a risk that the nurse practitioner and GP are not seeing a full picture of the resident during interRAI reviews.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restraint interventions has not been included in eight of the residents’ interRAI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restraint use is documented in interRAI long term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Rangiura Trust Board - Rangiura Rest Home &amp; Retirement Village</w:t>
    </w:r>
    <w:bookmarkEnd w:id="58"/>
    <w:r>
      <w:rPr>
        <w:rFonts w:cs="Arial"/>
        <w:sz w:val="16"/>
        <w:szCs w:val="20"/>
      </w:rPr>
      <w:tab/>
      <w:t xml:space="preserve">Date of Audit: </w:t>
    </w:r>
    <w:bookmarkStart w:id="59" w:name="AuditStartDate1"/>
    <w:r>
      <w:rPr>
        <w:rFonts w:cs="Arial"/>
        <w:sz w:val="16"/>
        <w:szCs w:val="20"/>
      </w:rPr>
      <w:t>16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