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Bishop Selwyn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Bishop Selwyn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September 2018</w:t>
      </w:r>
      <w:bookmarkEnd w:id="7"/>
      <w:r w:rsidRPr="009418D4">
        <w:rPr>
          <w:rFonts w:cs="Arial"/>
        </w:rPr>
        <w:tab/>
        <w:t xml:space="preserve">End date: </w:t>
      </w:r>
      <w:bookmarkStart w:id="8" w:name="AuditEndDate"/>
      <w:r w:rsidR="00A4268A">
        <w:rPr>
          <w:rFonts w:cs="Arial"/>
        </w:rPr>
        <w:t>20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Bishop Selwyn provides rest home and hospital level care for up to 79 residents. The service is operated by Ultimate Care Group Ltd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There were no areas requiring improvement as a result of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develop, review, update and evaluate residents’ care plans at least once every six months, or sooner if the patient’s needs change. Residents and their family/whānau have input into the development and review of their care plans. Residents and their family/whānau interviewed reported they were very satisfied with the care provided by staff.</w:t>
      </w:r>
    </w:p>
    <w:p w:rsidRPr="00A4268A" w:rsidP="00621629">
      <w:pPr>
        <w:spacing w:before="240" w:line="276" w:lineRule="auto"/>
        <w:rPr>
          <w:rFonts w:eastAsia="Calibri"/>
        </w:rPr>
      </w:pPr>
      <w:r w:rsidRPr="00A4268A">
        <w:rPr>
          <w:rFonts w:eastAsia="Calibri"/>
        </w:rPr>
        <w:t>There is an activities programme suitable for the needs of those living at Ultimate Care Bishop Selwyn and residents are free to choose which activities they wish to participate in. One-to-one and group activities are provided by the three activities staff. Residents’ meetings minutes reviewed showed residents enjoyed the variety of activities and had opportunity to provide input into future planning.</w:t>
      </w:r>
    </w:p>
    <w:p w:rsidRPr="00A4268A" w:rsidP="00621629">
      <w:pPr>
        <w:spacing w:before="240" w:line="276" w:lineRule="auto"/>
        <w:rPr>
          <w:rFonts w:eastAsia="Calibri"/>
        </w:rPr>
      </w:pPr>
      <w:r w:rsidRPr="00A4268A">
        <w:rPr>
          <w:rFonts w:eastAsia="Calibri"/>
        </w:rPr>
        <w:t xml:space="preserve">A safe and appropriate electronic medication system is in place. The staff interviewed were aware of their responsibilities and had current medication competencies. Weekly and six-monthly stock checks of controlled drugs occurs with accurate records and appropriate storage. </w:t>
      </w:r>
    </w:p>
    <w:p w:rsidRPr="00A4268A" w:rsidP="00621629">
      <w:pPr>
        <w:spacing w:before="240" w:line="276" w:lineRule="auto"/>
        <w:rPr>
          <w:rFonts w:eastAsia="Calibri"/>
        </w:rPr>
      </w:pPr>
      <w:r w:rsidRPr="00A4268A">
        <w:rPr>
          <w:rFonts w:eastAsia="Calibri"/>
        </w:rPr>
        <w:t xml:space="preserve">Food, fluids and nutritional needs of the residents are provided in line with nutritional guidelines for the older person. Special diets and requirements were being met. A nutritional profile is completed on admission and given to the kitchen staff with evidence of six-monthly reviews. Residents and family/whānau interviewed felt the menu was varied and meals provided were of a good standard.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were in use at the time of audit.  There were no restraints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is appropriate for the size and type of facility. Review of documentation evidenced that the reporting of infections followed policies and procedures that support the infection prevention and control programme. Results of surveillance are collated and shared at quality meetings and this information is reported back to staff at shift handover and staff meetings for actioning. Information is displayed for staff to observe in the staff room and is also compared with other Ultimate Care Group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over the past year and that actions taken, through to an agreed resolution, were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status, were advised in a timely manner about any incidents or accidents and outcomes of regular and any urgent medical reviews. This was supported in residents’ records reviewed.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all residents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Bishop Selwyn’s strategic and business plans, which are reviewed annually, outline the purpose, values, scope, direction and goals of the organisation. The documents described annual and longer-term objectives and the associated operational plans. A sample of monthly reports to the board of directors showed adequate information to monitor performance is reported including occupancy, staffing, financial performance, emerging risks and issues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transition facility manager (the regional manager) who holds relevant qualifications and has been in the role for several years. Responsibilities and accountabilities are defined in a job description and individual employment agreement. The regional/facility manager confirmed knowledge of the sector, regulatory and reporting requirements and maintains currency through organisational seminars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(DHB) for respite, rest home, complex medical conditions, hospital and palliative care and the Ministry of Health (MoH) for younger persons with a disability (YPD). Thirty-nine residents were receiving services under the rest home contract, twenty-eight under hospital care. There were no residents under YPD or palliative care at the time of audit. Six residents were in ‘Occupational Right Agreement’ apartments. Apartments are within the facility’s hospital environment and included in hospital staffing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satisfaction survey, monitoring of outcomes, and clinical incidents including infections and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quality and risk and staff meetings. Staff reported their involvement in quality and risk management activities through audit activities, and feedback from management. Relevant corrective actions are developed and implemented to address any shortfalls. Resident and family satisfaction surveys are completed annually. The most recent survey showed a lack of outings in the van and return of correct clothing from laundry as issues. The service has increased the number of van outings and sent reminders about naming clothing. Both areas have showed an improvement as confirmed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and reported to head office. This is transferred to an electronic risk reporting system for analysis.</w:t>
            </w:r>
          </w:p>
          <w:p w:rsidR="00EB7645" w:rsidRPr="00BE00C7" w:rsidP="00BE00C7">
            <w:pPr>
              <w:pStyle w:val="OutcomeDescription"/>
              <w:spacing w:before="120" w:after="120"/>
              <w:rPr>
                <w:rFonts w:cs="Arial"/>
                <w:b w:val="0"/>
                <w:lang w:eastAsia="en-NZ"/>
              </w:rPr>
            </w:pPr>
            <w:r w:rsidRPr="00BE00C7">
              <w:rPr>
                <w:rFonts w:cs="Arial"/>
                <w:b w:val="0"/>
                <w:lang w:eastAsia="en-NZ"/>
              </w:rPr>
              <w:t>The regional/facility manager described essential notification reporting requirements, including for pressure injuries. They advised there have been two notifications of significant events relating to security breaches (since reassessed for dementia care)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and annual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according to the interRAI acuity data reports.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 and there is 24 hour/seven days a week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system is used to provide safe medication management that complies with current legislative requirements and safe practice guidelines. The staff were aware of their roles according to their scope of practice, they have undergone training and have current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Medicines arrive from the pharmacy in blister packs. The packs are checked against the medication chart by the clinical services manager and team leader and entered into the system. Controlled drugs are stored securely in accordance with requirements and checked by two staff (one who is a registered nurse, the other a medicines competent staff member) for accuracy.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was maintained at a temperature within the recommended range. Stock was within current use by dates. All non-packaged items were stored in an orderly manner in a locked cupboard.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is reviewing medications three monthly or sooner if required. Commencement and discontinuation of medications and reason for pro re nata (PRN) medications were documented and meet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medication errors but there is a system in place if required for analysis of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kitchen team and is in line with recognised nutritional guidelines for older people. The menu follows winter and summer patterns and rotates over a four week cycle. It has been signed off by a qualified dietitian and recommendations made have been implemented. Those with dietary restrictions and modified textures are having their needs met. Residents interviewed, and resident meeting notes reviewed confirmed that the meals were satisfactory, with drinks and snacks available between meals.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demonstrated monthly weighs were undertaken and nutritional needs were being met. On admission, a nutritional file is developed detailing likes, dislikes, allergies, special cutlery required and any modified texture needed. A copy of this is held in a folder in the kitchen and reviewed and updated six monthly or earlier if needs change. Residents are referred to the dietitian for input if they experience unexplained weight loss.</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of the kitchen and food storage areas showed clean work areas, an orderly pantry and evidence of stock rotation. All aspects of food procurement, production, preparation, storage, transportation, delivery and disposal comply with current legislation and guidelines. Fridges, freezers and food temperatures were within the recommended range. All kitchen staff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meal time observed showed a calm atmosphere with no hurry for the residents to eat their meals and adequate room for staff to move around tables. Those requiring assistance were helped in a respectful and dignified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and interviews with residents and family/whānau revealed they were involved in the formulation of long-term care plans which were consistent with residents’ needs, goals and plan of care. The GP stated that medical input is sought in a timely manner with full and detailed information handed over and medical orders followed. Appropriate equipment and resources (eg, hoists, pressure relieving devices and mobility aids) were available and suited to the levels of care provided. Staff were trained in the use of equipment and had gained competency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Bishop Selwyn has three activities staff; one trained diversional therapist (DT), one DT in training and one due to start. They cover both service streams over the week, leaving movies, games or puzzles out for the weekend when staff or residents initiate activities. The facility has two vans that are used for outings and shopping trips. The activities staff receive feedback from residents’ meetings and suggestions of things to try, and Ultimate Care Group (UCG) head office also send a list of activities to include. The programme is varied and includes singing, church services, visits to and from a local preschool, games, puzzles and entertainers. On admission, a social history including cultural details, is obtained and from this goals are set with evaluations occurring six monthly, in line with interRAI assessments. Residents and family/whānau interviewed shared that the programme is interesting and meets their needs. Residents are free to choose which activities to participate in, with one-to-one ‘chats’ offered to those who opt to remain in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reviewed on each shift and any changes reported to the registered nurse and documented in the residents’ progress. During hand over between shifts anything that needs follow up is passed on to the oncoming shift staff.</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line with the interRAI reassessment, or sooner if a resident’s needs change (eg, time spent in the hospital). Short term care plans are used for wounds or infections. Documentation showed that short term care plans were reviewed and progress evaluated as clinically indicated. There was evidence of unresolved problems being transferred to the long-term care plan when required. Residents and family/whānau confirmed that they were involved in the process of evaluation and kept informed of any changes as observed on the family contact page.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July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upper and lower respiratory tract, skin, wounds, gastrointestinal tract, eye, ear, nose, and throat, and multi resistant organisms. Data is gathered each month and the clinical nurse manager graphs them observing for trends and possible causes, reported at quality meetings and then to the governing body. This information is available to staff at handover, staff meetings and is displayed in the staff room. It is also compared against other UCG facilities with monthly comparisons as well as yearly comparisons of the same months.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infection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Three residents were using enablers, which were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Bishop Selwyn Lifecare</w:t>
    </w:r>
    <w:bookmarkEnd w:id="58"/>
    <w:r>
      <w:rPr>
        <w:rFonts w:cs="Arial"/>
        <w:sz w:val="16"/>
        <w:szCs w:val="20"/>
      </w:rPr>
      <w:tab/>
      <w:t xml:space="preserve">Date of Audit: </w:t>
    </w:r>
    <w:bookmarkStart w:id="59" w:name="AuditStartDate1"/>
    <w:r>
      <w:rPr>
        <w:rFonts w:cs="Arial"/>
        <w:sz w:val="16"/>
        <w:szCs w:val="20"/>
      </w:rPr>
      <w:t>20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