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Bruce McLaren Retirement Village Limited - Bruce McLaren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Bruce McLaren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Bruce McLaren Retirement Village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September 2018</w:t>
      </w:r>
      <w:bookmarkEnd w:id="7"/>
      <w:r w:rsidRPr="009418D4">
        <w:rPr>
          <w:rFonts w:cs="Arial"/>
        </w:rPr>
        <w:tab/>
        <w:t xml:space="preserve">End date: </w:t>
      </w:r>
      <w:bookmarkStart w:id="8" w:name="AuditEndDate"/>
      <w:r w:rsidR="00A4268A">
        <w:rPr>
          <w:rFonts w:cs="Arial"/>
        </w:rPr>
        <w:t>6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Bruce McLaren facility is part of the Ryman group providing care for up to 158 residents in the care centre and serviced apartments.  On the day of audit, there were 115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village manager has been in the role for nine months and with Ryman for 10 years.  She is supported by an assistant to the manager and acting clinical manager.  The management team is supported by the Ryman management team including a regional manager.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r w:rsidRPr="00A4268A">
        <w:rPr>
          <w:rFonts w:eastAsia="Calibri"/>
        </w:rPr>
        <w:t xml:space="preserve">The service is commended for achieving continuous improvement ratings around good practice, reduction of falls, activities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onsite seven days a week with additional on call cover 24/7.  Residents and families report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and baking are done on-site by qualified chefs.  The menu provides choices and accommodates resident preferences and dislikes.  Nutritious snacks are available 24 hours.  Residents interviewed responded favourably to the food that was provided</w:t>
      </w:r>
    </w:p>
    <w:p w:rsidRPr="00A4268A" w:rsidP="00621629">
      <w:pPr>
        <w:spacing w:before="240" w:line="276" w:lineRule="auto"/>
        <w:rPr>
          <w:rFonts w:eastAsia="Calibri"/>
        </w:rPr>
      </w:pPr>
      <w:r w:rsidRPr="00A4268A">
        <w:rPr>
          <w:rFonts w:eastAsia="Calibri"/>
        </w:rPr>
        <w:t xml:space="preserve">   </w:t>
      </w:r>
    </w:p>
    <w:p w:rsidRPr="00A4268A" w:rsidP="00621629">
      <w:pPr>
        <w:spacing w:before="240" w:line="276" w:lineRule="auto"/>
        <w:rPr>
          <w:rFonts w:eastAsia="Calibri"/>
        </w:rPr>
      </w:pPr>
      <w:r w:rsidRPr="00A4268A">
        <w:rPr>
          <w:rFonts w:eastAsia="Calibri"/>
        </w:rPr>
        <w:t xml:space="preserve">  </w:t>
      </w:r>
    </w:p>
    <w:p w:rsidRPr="00A4268A" w:rsidP="00621629">
      <w:pPr>
        <w:spacing w:before="240" w:line="276" w:lineRule="auto"/>
        <w:rPr>
          <w:rFonts w:eastAsia="Calibri"/>
        </w:rPr>
      </w:pPr>
      <w:r w:rsidRPr="00A4268A">
        <w:rPr>
          <w:rFonts w:eastAsia="Calibri"/>
        </w:rPr>
        <w:t xml:space="preserv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are six rooms which share communal showers/toilets.  All other rooms have ensuites.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There is an approved fire evacuation scheme.  There are six-monthly fire drills.  Staff have attended emergency and disaster management.  There are sufficient civil defence supplies on-site including food, water and emergency power.   There is a first aider on-site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no residents with restraints or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(acting clinical manager)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2"/>
        <w:gridCol w:w="1280"/>
        <w:gridCol w:w="9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Thirty-one staff (three-unit coordinators, four registered nurses (RNs), 12 caregivers, one diversional therapist, two activity coordinators, one chef, one maintenance person, two health and safety representatives, one cleaner and one laundry person) interviewed, confirmed their understanding of the Code and how it is incorporated into their working environment.   Staff receive training about the Code during their induction to the service which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all resident files reviewed (four rest home, four hospital and three dementia including one young person with a disability (YPD).  Discussions with staff confirmed that they are familiar with the requirements to obtain informed consent for entering rooms and personal care.  Enduring power of attorney (EPOA) evidence is filed in the residents’ charts.  In the dementia unit files, the residents had activated EPOA’s.  All rest home and hospital files sampled also had advance directives.  There are 58% of all residents who have advance directives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Advocacy information is displayed.  Residents and family have access to Age Concern representatives.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community events outside of the facility including inter-home visits and church services.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visible at the entrance to the facility and within each unit.   Information about complaints is provided on admission.  Interviews with all residents and family confirmed their understanding of the complaints process.  Staff interviewed were able to describe the process around reporting complaints.  There is a complaint register that includes written and verbal complaints, dates and actions taken and demonstrates that complaints are being managed in a timely manner.  The complaints process is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ten resident/relative complaints for 2018 to date   There is one HDC complaint from 2017 that has been responded to in writing.  The service is awaiting feedback from the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consumer rights.  There is also the opportunity to discuss aspects of the code of rights during the admission process.  12 relatives (of three rest home, three hospital and six of dementia care residents) and seven residents (three hospital and four rest home) interviewed, confirmed that they have been provided with information on the code of rights.  Code of rights posters are displayed throughout the facility.  The village manager and acting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Links are established with local iwi and other community representative groups.  Family/whānau involvement is recognised and acknowledged by staff.  There were three Maori residents on the day of audit with Maori health plans which identified they did not have any specific cultural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acknowledge their cultural and spiritual values.   The service celebrates cultural days including Matariki.  Church services are held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at head office by the appropriate person.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service has been successful in reducing challenging behaviours in the dementia care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changes to health occurs.  Evidence of families being kept informed is documented in the electronic database and in the residents’ progress notes.  All family interviewed stated they were well-informed.  Incident/accident documentation reviewed indicated that the next of kin are routinely contacted following an adverse event.  Two monthly rest home and hospital resident meetings are held in each unit.  Relative meetings are held in the dementia care unit.  A “village connection” newsletter is produced regularly and there are seasonal Ryman times available at the front entrance for all residents, family and community visitors.  A 2018 village objective was around improving communication which has been demonstrated in survey results.  The resident care plans identify the resident’s main language and need for an interpreter.  Access to interpreter services is available if needed for residents who are unable to speak or understand English and some staff are able to interpret in several languages.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Bruce McLaren provides rest home, hospital and dementia levels of care for up to 158 residents.  There are 43 rest home beds on the first floor, and 44 hospital level beds on the second floor.  Both the rest home and hospital beds are approved for dual purpose.  The secure dementia unit is located on the third floor and is separated into two secure wings (20 beds, and 21 beds) that are joined by a nurse’s station.  Thirty beds in the serviced apartments across four levels have been approved for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115 residents in the facility on the day of audit.  This included 34 rest home level residents with 1 in a serviced apartment and 45 hospital level residents.  All rest home and hospital level residents were on the aged residential care contract (ARCC).  Thirty-six residents were in the two secure dementia units with eighteen residents on each wing.  One resident in the dementia unit was on the young person with a disability (YPD) contract and the remaining residents were on the ARCC. </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objectives and quality initiatives from an organisational perspective are set annually and Bruce McLaren has also developed their own specific objectives.  Objectives are reviewed by the management team three-monthly.</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commenced employment in December 2017.  She previously was an assistant manager at another Ryman facility and has worked for Ryman for a total of ten years.  The village manager is supported by a clinical manager and an assistant to the manager.  The clinical manager’s role was vacant at the time of this audit, with the unit coordinator/RN from the dementia unit appointed to the acting clinical manager’s role.  A new clinical manager will begin employment on 18 September.  She is a New Zealand registered nurse (2004) and previously was the regional clinical manager for a large community-based health service.</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dementia unit, unit coordinators are appointed to the rest home, and hospital floors (registered nurses) and the serviced apartments (enrolled nurse).  The unit coordinator for the serviced apartments was vacant at the time of the audit, and was being filled in the interim with a senior caregiver.  This role has been filled by an enrolled nurse who begins employment on 12 September.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to date of professional development activities related to managing a hospital and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assistant to the manager are responsible during the temporary absence of the village manager, with added support provided by the regional manager and unit coordinators.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Bruce McLaren has a well-established quality and risk management system that is directed by Ryman Christchurch.  Quality and risk performance are reported across the facility meetings and to the organisation's management team.  Discussions with the management team and staff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and family meeting are scheduled six-monthly.  Minutes are maintained.  Annual resident and relative surveys are completed with the last survey completed in February 2018.  Results are benchmarked against all Ryman facilities.  February results indicated that Bruce McLaren ranked #4 out of 31 facilities.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 including those standards relating to the Health Disability Services (Safety) Act 2001.  Policies are reviewed at a national level and are forwarded through to a service level in accordance with the monthly team.  They are communicated to staff, as evidenced in staff meeting minutes.  Staff are asked to sign new policies after they have read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and policies/procedures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which is utilised for service improvements.  Clinical indicators are graphed and identify trends in the data.  Trend analyses include collating the times and locations of adverse events.  Results are communicated to staff across a variety of meetings and reflect actions being implemented and signed off when completed.  Interviews with staff confirmed their awareness of clinical indicator trends and strategies being implemented to improve residents’ outcomes.  A number of strategies are being implemented to reduce the number of residents’ falls.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Areas identified for improvements are documented as a quality improvement plan (QIP).  QIPs for 2018 include improvements identified around laundry, housekeeping and food.  QIPs were also documented following analyses of the staff survey results, and the myRyman electronic clinical records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Two health and safety officers were interviewed.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Contractors are formally inducted into the Ryman health and safety processes.  Ryman has achieved tertiary level ACC Workplace Safety Management Practice (expiry 31 March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a continuous improvement in relation to their management of quality data and in particular, maintaining a low falls rate.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 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10 incidents and accidents for 2018 identified that all forms are fully completed and include follow-up by a registered nurse.  Adverse events are documented electronically on V-care.  All clinical events are followed up by a registered nurse.  Neurological observations are completed if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potential situations that would be reported to statutory authorities with one example provided where a Section 31 report was filed for a police investigation of an absconding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Thirteen staff files reviewed (one chef, one-unit coordinator/RN, four staff RNs, one activities coordinator, six caregivers) included an application form and reference checks, a signed contract, a job description relevant to the role the staff member is in, and completed general and job-specific induction checklists.  The orientation programme provides new staff with relevant information for safe work practice.  It is tailored specifically to each position.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Journal club meetings are provided for nursing staff two monthly.  Nine of sixteen registered nurses have completed their interRAI training.  There are implemented competencies for registered nurses and caregivers related to specialised procedures and/or treatment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Seventeen of twenty-seven caregivers who work in the dementia unit have completed their dementia qualification.  The remaining ten caregivers have been employed for less than one year in the dementia unit and are in the process of completing their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covers four floors with an elevator and stairs for access.  The clinical manager’s role was vacant at the time of the audit.  This registered nurse (RN) vacancy has been filled and the new clinical manager will begin employment later mid-September.  The unit coordinator/RN in the dementia unit has been filling the role in the absence of the clinical manager over a four-week period of time until the new clinical manager starts.  The new clinical manager that has been employed is a registered nurse with a current practising certificate who will work full time Tuesday - Saturday.  </w:t>
            </w:r>
          </w:p>
          <w:p w:rsidR="00EB7645" w:rsidRPr="00BE00C7" w:rsidP="00BE00C7">
            <w:pPr>
              <w:pStyle w:val="OutcomeDescription"/>
              <w:spacing w:before="120" w:after="120"/>
              <w:rPr>
                <w:rFonts w:cs="Arial"/>
                <w:b w:val="0"/>
                <w:lang w:eastAsia="en-NZ"/>
              </w:rPr>
            </w:pPr>
            <w:r w:rsidRPr="00BE00C7">
              <w:rPr>
                <w:rFonts w:cs="Arial"/>
                <w:b w:val="0"/>
                <w:lang w:eastAsia="en-NZ"/>
              </w:rPr>
              <w:t>There are four-unit coordinator positions.  The position for the unit coordinator/enrolled nurse (EN) in the serviced apartments was vacant.  This position was being filled on an interim basis by a senior caregiver.  One-unit coordinator/RN is assigned to the dementia unit, One-unit coordinator/RN is assigned to the hospital and one-unit coordinator/RN is assigned to the rest home.  The unit coordinators stagger a seven day a week schedule to ensure that there is a minimum of one-unit coordinator available seven days a week on the AM shift.  The Clinical Manager and Unit coordinators share an on-call roster with one of them being available on-call 24 hours a day,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span four floors with one rest home level resident during the audit.  A senior caregiver is staffed seven days a week from 0800 – 1630.  They are supported by two caregivers on the AM shift (0700 – 1300 and 0800 – 1300), and two caregivers on the PM shift (1600 – 2100 and 1630 – 1900).  The caregivers in the rest home cover the serviced apartments after 2100.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The rest home unit is on the ground level.  There were 32 rest home level residents and seven hospital residents.  The unit coordinator/RN works the AM shift Tuesday – Saturday and a second RN covers the AM shift on Sunday and Monday.  There are six caregivers on the AM shift (three long and three short), four caregivers on the PM shift (two long and two short) and two activities staff (one is Monday – Friday 0930 - 1630 and one is two days a week (Mondays and Wednesdays) from 1300 – 1630.  The night shift is staffed with two caregivers.</w:t>
            </w:r>
          </w:p>
          <w:p w:rsidR="00EB7645" w:rsidRPr="00BE00C7" w:rsidP="00BE00C7">
            <w:pPr>
              <w:pStyle w:val="OutcomeDescription"/>
              <w:spacing w:before="120" w:after="120"/>
              <w:rPr>
                <w:rFonts w:cs="Arial"/>
                <w:b w:val="0"/>
                <w:lang w:eastAsia="en-NZ"/>
              </w:rPr>
            </w:pPr>
            <w:r w:rsidRPr="00BE00C7">
              <w:rPr>
                <w:rFonts w:cs="Arial"/>
                <w:b w:val="0"/>
                <w:lang w:eastAsia="en-NZ"/>
              </w:rPr>
              <w:t>The hospital is on the first level.  There were 38 hospital and one rest home resident.  The unit coordinator/RN works on the AM shift Sunday – Thursday.  Two staff RNs cover the AM and PM shift and one RN covers the night shift, seven days a week.  There are eight caregivers on the AM shift (four long and four short) and one fluid assistant from 0930 – 1300.  There are six caregivers on the PM shift (two long and four short) and one lounge carer from 1600 – 2000.  Three caregivers cover the night shift.  Activities cover is seven days a week with two activities staff rostered on Tuesdays and Thursdays.</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broken down into two separate, locked/secure wings that are joined by one nursing station.  Each wing had 18 residents and one day stay resident from rest home with written approval by the DHB mental health service.  Consent had also been obtained from family for environmental restraint.  The dementia units were staffed with two RNs on the AM and PM shifts (including the unit coordinator/RN (interim clinical manager).  One long and one short caregiver are rostered in each dementia wing on the AM and PM shifts.  A lounge carer/diversional therapist covers from 0900 – 1600 and a diversional therapist covers from 0930 – 1800.  The PM is staffed with one lounge caregiver from 1600 – 2000.  The night shift is staffed with three caregivers across the two wings.</w:t>
            </w:r>
          </w:p>
          <w:p w:rsidR="00EB7645" w:rsidRPr="00BE00C7" w:rsidP="00BE00C7">
            <w:pPr>
              <w:pStyle w:val="OutcomeDescription"/>
              <w:spacing w:before="120" w:after="120"/>
              <w:rPr>
                <w:rFonts w:cs="Arial"/>
                <w:b w:val="0"/>
                <w:lang w:eastAsia="en-NZ"/>
              </w:rPr>
            </w:pPr>
            <w:r w:rsidRPr="00BE00C7">
              <w:rPr>
                <w:rFonts w:cs="Arial"/>
                <w:b w:val="0"/>
                <w:lang w:eastAsia="en-NZ"/>
              </w:rPr>
              <w:t>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computerised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dementia are unit.   The admission agreements reviewed met the requirements of the ARRC contract.  Exclusions from the service are included in the admission agreement.  All long-term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CMDHB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blister pack system.  Medications are checked on arrival and any pharmacy errors recorded and fed back to the supplying pharmacy.  RN’s and senior medication competent caregivers administer medications.  All staff have up to date medication competencies and there has been medication education this year.  Registered nurses have syringe driver training completed by the hospice.  The medication fridge temperature in each area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Twenty-two medication charts were reviewed.  Medications are reviewed at least three monthly by the GP.  The GP and the psychiatrist review the medications for dementia care residents.  There was photo identification and allergy status recorded.  As required medications had indications for use prescribed.  The effectiveness of as required medications is recorded in the progress notes and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head chef is supported by a second chef on duty, cook’s assistants and kitchenhands.  Staff have been trained in food safety and chemical safety.  All meals and baking are prepared and cooked on-site.   The food control plan has been verified and expires 9 May 2019.  The seasonal menu has been designed in consultation with the dietitian at an organisational level and seeks feedback from residents.  Project “delicious” has been in place since January 2017.  Menu choices are decided by residents (or primary care staff if the resident is not able) and offer a variety of choices.   Diabetic desserts and gluten free diets are accommodated as required.  Meals are delivered in hot boxes and served from bain maires in the unit kitchens.  The cook receives a resident dietary profile for all new admissions and is notified of any dietary changes.  Resident dislikes are accommodated and listed on the daily spreadsheet.  Alternative foods are available on the menu or offered.  Cultural, religious and food allergies are accommodated.  Nutritious snacks are delivered regularly to the dementia care units.  Fortified meals are provided on RN/dietitian request.  Pureed foods are brought in that have a higher nutritional value.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re-heating and serving temperatures are taken and recorded twice daily.  The chilled goods temperature is checked on delivery.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resident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 term residents whose files were sampled.  Behaviour assessments had been completed for the files of three dementia care residents with the outcomes included in the care plan.   Overall the goals were identified through the assessment process and linked to care plan interventions.  Other assessment tools in use included (but not limited to) nutrition and continence.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the myRyman electronic resident individualised care programme.   There are a number of assessments completed that assess resident needs holistically.  The assessments generate interventions and narrative completed by the RNs that are transferred to the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and provide detail to guide care.  There was a behaviour management plan in the files of dementia care residents that included interventions and strategies for de-escalation including activities.  Residents and relatives interviewed stated that they were involved in the care planning process.  There was evidence of service integration with documented input from a range of specialist care professionals including the hospice nurse, wound care nurse and mental health care team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The myRyman programme identifies interventions that cover a comprehensive set of goals including managing medical needs/risks.  Key symbols on the resident’s electronic home page identity current and acute needs such as (but not limited to); current infection, wound or recent fall.  There was documented evidence of resident/family/whānau involvement in the care planning process in the long-term files reviewed.  Residents and relatives interviewed confirmed they were involved in the care planning process.  Care plans included involvement of allied health professionals in the care of the resident.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[sited]).  Monitoring charts are well utilised.  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electronically and written in the progress notes.  Neurological observations are completed for unwitnessed falls or falls where residents hit their heads.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management plans are completed on myRyman.  When wounds are due to be dressed a task is automated on the RN daily schedule.  There are currently sixteen wounds being treated.  One chronic wound has had input from the GP and wound care nurse specialist and there are photos of the wound’s progress.  One wound has been referred to the vascular surgeon.  There are currently three stage two pressure injuries.  A review of all three, identified documentation was fully completed.  One is non-facility acquired.  Pressure injury prevention equipment is available and is being used.  Caregivers document changes of position on myRyman.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rest home there is one activities coordinator working 0930-1630 Monday to Friday and there is an activities assistant working 1300 to 1630 Monday to Wednesday.  In the hospital there is an activities coordinator working 0930-1630 seven days a week and an activities assistant working 1300-1630 Tuesday to Thursday.  Both activities coordinators are completing the diversional therapy (DT) course.  A qualified DT is employed in the dementia care unit from 9.30am to 6pm.  She is supported by a lounge carer (also a DT) seven days a week.  There is an activity team member in each dementia care unit.  On the days of audit, residents in all units were observed doing Triple A exercises, playing bingo, listening to entertainment and taking part in quizzes.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some residents also have a copy in their rooms.   Residents have the choice of a variety of activities in which to participate and every effort is made to ensure activities are meaningful and tailored to residents’ needs.  These include exercises, games, quizzes, music and walks outside.  The rest home, hospital and serviced apartments combine for some activities.   Those residents who prefer to stay in their room or who need individual attention have one on one visits to check if there is anything they need and to have a chat.  There are van outings twice weekly in the rest home and hospital and weekly outings for dementia care residents in both units.  Dementia care residents (as appropriate) join in the rest home/hospital activities for entertainment and other celebrations under supervision.  Activities in both the dementia care units include triple A exercises, garden walks, singing, happy hours, hand therapy, foot spas, bread making, word games, men’s group, group dancing and adult colouring.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interdenominational church service every Wednesday and Catholic volunteers come in to give communion in the rest home, hospital and dementia care units.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entertainers visiting the facility.  Special events like birthdays, Easter, Father’s Day, Anzac Day and the Melbourne Cup are celebrated.  Recently during Matariki a Kapa Haka group visited.  They have also just had a month of learning poi.  There is pet therapy monthly and the staff also bring in their pets.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pre-schools and schools, ‘baby ballerinas’, and health camp children.  Residents go out to Cafe Musica, the health camp and the RSA.  The “village friends” are involved in the activity programme in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 meetings are held two monthly.  Residents and relatives expressed satisfaction with the activities offered.   There are activities offered in addition to the engage programme that has shown an increase in resident satisfaction in the February 2018 annual survey results.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care plans reviewed had been evaluated by the registered nurses six monthly or when changes to care occurs.  Two residents had not been at the service long enough for a review.  Acute care plans for short- term needs (in myRyman) are evaluated and signed off as resolved or added to the long- term care plan as an ongoing problem.   Activities plans are in place for each of the residents and these are also evaluated six monthly.  The multidisciplinary review involves the RN, CG, GP and resident/family if they wish to attend.  There are three monthly reviews by the GP for all residents.  Family members interviewed confirmed that they are invited to the MDT review and if unable to attend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a vascular surgeon.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There are sluices on each care centre floor.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14 October 2018.  There is a maintenance person who works full-time.  There is an assistant maintenance person who works three days a week.  Contractors are available when required.  There is also a full-time head gardener who has two full time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The external areas and gardens were well maintained.  There is a small upstairs outdoor balcony area in the hospital and a larger secure one in the dementia unit.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ensuites.  Fixtures, fittings and flooring are appropriate.  Toilet/shower facilities are easy to clean.  There is ample space in toilet and shower areas to accommodate shower chairs and hoists if appropriate.  There are signs and privacy locks on all shower/toilet doors.  There are communal toilets near all communal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double rooms on each floor in the rest home and in the hospital.  At present these all are only occupied by one resident.  All other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in the rest home and hospital.  Activities occur in the larger areas and the smaller areas are spaces where residents who prefer quieter activities or visitors may sit.  In the dementia unit there is a large lounge in each unit and there are spacious dining rooms in each unit.  There is a shop, reflection room, hairdressing salon and beauty salon in the village centre.  The village has a gym, pool and bowling green which residents may use if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when not in use.  All chemicals on the cleaner’s’ trolley were labelled.  There are sluice rooms on each floor for the disposal of soiled water or waste and the sluicing of soiled linen if required.  The sluice rooms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Staff have attended emergency and disaster management training and six-monthly fire drills.  There is an approved fire evacuation plan dated 10 November 2014.  There is a first aid trained staff member on every shift.  There are sufficient civil defence kits in the facility and adequate ceiling tanks water storage and bottled water in the care centre.  There is adequate food available for at least three days.  There is gas and electric cooking in the kitchen and three barbeques available.  There are six generators to cover the care centre and the village.  Smoke alarms, sprinkler system and exit signs in place.  The facility is secured at night.  There are calls bells in all resident rooms, toilet/shower areas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“Austco Monitoring programme” call bell system is available in each bedroom.  There are call bells in common areas.  There is a nurse presence bell when a nurse/carer is in the resident room a green light shows staff outside that a colleague is in a particular room.  The call bell system has a cascading system of call recognition that will cascade if not responded to within a certain time from the primary nurse (caregiver) to the nurse coordinator, to the clinical manager and to the village manager.  The system software is able to be monitored.  The system includes the latest electronic beam management technology which will be used to alert staff on the movements of residents in their rooms who are at high risk of falling.  Alerts will be sent electronically to staff for those high-risk residents who are attempting to get of bed unsupervised.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and there is underfloor heating as well.  Staff and residents interviewed stated that this is effective.  There is one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appropriate for the size and complexity of the service.  The infection control and prevention officer is the dementia care coordinator who has just taken on the role and completing induction to the infection control role.   The infection prevention and control committee are combined with the health and safety committee, which meets two monthly.  The programme is set out annually from head office and directed via the quality programme.  The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sanitizers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cross-section of staff from all areas of the service.  The infection control officer has completed an infection control study day March 2018 and attends Ryman skype seminars for infection control officers.</w:t>
            </w:r>
          </w:p>
          <w:p w:rsidR="00EB7645" w:rsidRPr="00BE00C7" w:rsidP="00BE00C7">
            <w:pPr>
              <w:pStyle w:val="OutcomeDescription"/>
              <w:spacing w:before="120" w:after="120"/>
              <w:rPr>
                <w:rFonts w:cs="Arial"/>
                <w:b w:val="0"/>
                <w:lang w:eastAsia="en-NZ"/>
              </w:rPr>
            </w:pPr>
            <w:r w:rsidRPr="00BE00C7">
              <w:rPr>
                <w:rFonts w:cs="Arial"/>
                <w:b w:val="0"/>
                <w:lang w:eastAsia="en-NZ"/>
              </w:rPr>
              <w:t>The infection and prevention officer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There is close liaison with the GPs and laboratory service that advise and provide feedback and information to the service.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confirmed sapovirus outbreak in the dementia care unit in July 2017.   Relevant authorities were notified (sighted).  Daily case logs and correspondence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The facility has remained restraint-free (no restraints or enablers) since their last audit.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a unit coordinator/RN at rest home level.  Staff training is provided a minimum of annually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526"/>
        <w:gridCol w:w="82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2017 the service identified an improvement was required around reduction of challenging behaviours in the dementia care unit.  In May 2017 challenging behaviours rose to 3.2/1000 bed nights when this had previously been 1.7/1000 bed nights.  The service has been successful in reducing challenging behaviour rates to below the lower limit of 1/1000 bed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achieve reduction in challenging behaviour incidents in the dementia care unit the following was implemented;  a) further education for staff around triggers, de-escalation  and activities, b) employment of a lounge carer in the evenings to ensure needs of residents with challenging behaviour  were being met including one on one time,  c) regular reviews of clinical data to identify trends, d) close monitoring of residents by staff including the DT during activities and e) regular medication reviews by the GP and the visiting mental health nurse and psychogeriatrician.  The individual care plans describe the resident’s behaviours, triggers and interventions including activities.  Staff know the residents very well including triggers for behaviours and intervene before behaviours escalate.  Since the implementation of the above strategies the challenging behaviour incidents have reduced below 1/1000 bed nights over the past eight months with two months having zero incidents.  This has resulted in a calm environment in the dementia care unit and less distress for residents.     The service has achieved its goal in reducing challenging behaviour incidents from 3.2/1000 bed nights to 1/1000 to zero bed nights.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indicator data is collected, collated, analysed with feedback provided to staff.  Quality improvements around falls prevention has resulted in a rating of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benchmarked data for the 12-month period ending August 2018 evidenced that the falls have been maintained below the upper limit of 11/1000 bed nights for hospital and rest home level residents since the implementation of falls prevention strategies.  Strategies include a colour coding (traffic light) system, providing falls prevention training for staff, ensuring adequate supervision of residents, and encouraging resident participation in the activities programme.  Other initiatives include physiotherapy assessments for all residents, routine checks of all residents specific to each resident’s needs (intentional rounding), the use of sensor mats, the use of night lights,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RNs interviewed were knowledgeable in regards to preventing falls and identified those residents who were at risk.  The caregivers confirmed that they have more face-to-face time with residents since the implementation of myRyman which allows for more time observing residents and attending to their needs.  Fall free days are celebrated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are met and the dining experience improved.  This has been achieved with the introduction of project delicious in January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 rotating seasonal menu offers a variety of choices including three main dishes for the midday and two choices for evening meal including a vegetarian option.  There is a chef’s choice and resident choice weekly.  Gluten free meals are offered on the menu.  Cultural dietary needs are met through the project delicious menu.  The service has liaised with food suppliers to improve quality of suppliers including access specialised pure foods for pureed options.   There has been feedback and consultation with residents on the new menu with concerns and feedback noted and changes made such as re-wording of some menu foods as residents unfamiliar with the dish and some food items not appealing.  This feedback led to changes over the winter menu.  Other initiatives include an easy to read laminated menu card for ease of weekly ordering with staff assistance as needed.  There has been ongoing education for staff around food services and nutrition and hydration.  The dining experienced has improved through staff etiquette, meal choices and presentation and a relaxed rather than rushed meal time as observed in the dining areas of each unit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provided additional activities that focus on engagement with the community (rest home) use of technology (hospital) and small group activities (dementia care unit).  The service has been successful in providing meaningful activities that are relevant to the resident groups.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residents are actively engaged with a local junior school child who visit the residents weekly.  The school children and residents enjoy sharing the newer and older games together and reminiscing.  The resident then attends the school with the children and enjoy being with the children as they show the residents their computers and school 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Recently the hospital activities coordinator has introduced a computer corner with computer and headphones where residents can enjoy documentaries and other programmes of their choice.  The resident who first asked to use a computer is now teaching other residents how to use it.  They have now formed a computer club.  There is also an Alexis programme which is similar to Siri.  When residents ask Alexis a question and she answers back to them.  Alexa can play music, make calls, set music alarms and timers.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for residents in the dementia unit 1 (21 beds) and unit 2 (20 beds).  Outings include places of interest including beaches, airport, parks and Bays, Eden park, Buddhist temple and viaduct.  Records demonstrate good numbers of residents going on outings averaging 18-20 residents each time.   There is an active men’s group and smaller groups have been formed including singing group, dancing group, group walks in the village, gardening group.  The smaller interest groups have contributed to reduction of challenging behaviours (link 1.1.8.1).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meeting minutes sighted document complimentary comments on the activities in each unit.  Residents and relatives interviewed on the day of audit expressed they were very satisfied with the activities and outings provided and they are invited to events and celebrations such as barbeques.   The February 2018 resident/relative survey demonstrated an increase in satisfaction with activities from 3.74 in 2017 to 4.55 in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Bruce McLaren Retirement Village Limited - Bruce McLaren Retirement Village Limited</w:t>
    </w:r>
    <w:bookmarkEnd w:id="58"/>
    <w:r>
      <w:rPr>
        <w:rFonts w:cs="Arial"/>
        <w:sz w:val="16"/>
        <w:szCs w:val="20"/>
      </w:rPr>
      <w:tab/>
      <w:t xml:space="preserve">Date of Audit: </w:t>
    </w:r>
    <w:bookmarkStart w:id="59" w:name="AuditStartDate1"/>
    <w:r>
      <w:rPr>
        <w:rFonts w:cs="Arial"/>
        <w:sz w:val="16"/>
        <w:szCs w:val="20"/>
      </w:rPr>
      <w:t>5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