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Royal Oak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Royal Oak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September 2018</w:t>
      </w:r>
      <w:bookmarkEnd w:id="7"/>
      <w:r w:rsidRPr="009418D4">
        <w:rPr>
          <w:rFonts w:cs="Arial"/>
        </w:rPr>
        <w:tab/>
        <w:t xml:space="preserve">End date: </w:t>
      </w:r>
      <w:bookmarkStart w:id="8" w:name="AuditEndDate"/>
      <w:r w:rsidR="00A4268A">
        <w:rPr>
          <w:rFonts w:cs="Arial"/>
        </w:rPr>
        <w:t>21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Royal Oak is owned and operated by the CHT Healthcare Trust, and cares for up to 40 residents requiring rest home level care.  On the day of the audit, there were 31 residents.    </w:t>
        <w:b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is being overseen by a unit manager, who is new to CHT Royal Oak but well qualified and experienced for the role.  The unit manager is supported by an experienced clinical coordinator who is also new to the role and the area manager who was the previous unit manager.  Residents, relatives and the GP interviewed spoke positively about the service provided.</w:t>
      </w:r>
    </w:p>
    <w:p w:rsidRPr="00A4268A">
      <w:pPr>
        <w:spacing w:before="240" w:line="276" w:lineRule="auto"/>
        <w:rPr>
          <w:rFonts w:eastAsia="Calibri"/>
        </w:rPr>
      </w:pPr>
      <w:r w:rsidRPr="00A4268A">
        <w:rPr>
          <w:rFonts w:eastAsia="Calibri"/>
        </w:rPr>
        <w:t>The service has exceeded the standard around infection control and prevention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ensure that care is provided in a way that focuses on the individual, values residents' autonomy and maintains their privacy and choice.  The service complies with the Code of Health and Disability Consumers’ Rights.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CHT Royal Oak has a current business plan that outlines objectives for the year.  The quality processes being implemented include regularly reviewed policies, an internal audit programme and a health and safety programme that includes hazard management.  Meetings are held to discuss quality and risk management processes and results.  Residents’ meetings are held, and residents and families are regularly surveyed.  Appropriate employment processes are adhered to and employees have an annual appraisal completed.  An education and training programme is being implemented.  Incidents and accidents are reported.  The service has a documented rationale for determining staffing.  Staff, residents and family members reported staffing levels are sufficient to meet residents’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unit manager or clinical coordinator.  There is comprehensive service information available.  Assessments, care plans and evaluations are completed by the registered nurses within the required timeframe.  Care plans are written in a way that enables all staff to clearly follow their instructions.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Alternative options are able to be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The facility is divided into four suites, each with an individual lounge area.  All bedrooms are single occupancy and share an ensuite with the room next door.  There is sufficient space to allow the movement of residents around the facility using mobility aids.  Chemicals are stored safely throughout the facility.  Appropriate policies and product safety charts are available.  Communal living areas and resident rooms are appropriately heated and ventilated.  The outdoor areas are safe and easily accessible.  Maintenance staff are providing appropriate services.  </w:t>
      </w:r>
    </w:p>
    <w:p w:rsidRPr="00A4268A">
      <w:pPr>
        <w:spacing w:before="240" w:line="276" w:lineRule="auto"/>
        <w:rPr>
          <w:rFonts w:eastAsia="Calibri"/>
        </w:rPr>
      </w:pPr>
      <w:r w:rsidRPr="00A4268A">
        <w:rPr>
          <w:rFonts w:eastAsia="Calibri"/>
        </w:rPr>
        <w:t xml:space="preserve">The service has implemented policies and procedures for civil defence and other emergencies.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a registered nurse.  There is a suite of infection control policies and guidelines that meet infection control standards.  The infection control programme is reviewed annually.  Staff receive annual infection control education.  Surveillance is used to determine quality assurance activities and education needs for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22"/>
        <w:gridCol w:w="1280"/>
        <w:gridCol w:w="91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Services Consumers’ Rights (the Code) policy and procedure is being implemented.  Discussions with three managers (one unit manager, one area manager, one clinical coordinator/RN) and nine staff (three health care assistants, two registered nurses (RNs), one activities coordinator (diversional therapist), one kitchen manager, one maintenance, one housekeeper) confirmed their familiarity with the Code and its application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six residents and four family members confirmed that the services being provided are in line with the Code.  Aspects of the Code are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The resident or their EPOA signs written consents.  Advanced directives are signed for separately.  There is evidence of discussion with family when the GP completed a clinically indicated not for resuscitation order.  Health care assistants and the clinical coordinator (RN) interviewed, confirmed verbal consent is obtained when delivering care.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Six of six resident files sampled have a signed admission agreement and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information presented to residents and families during their entry to the service and in the information presented to them on the complaint forms.  Details include a range of advocacy contacts.  Interviews with staff, residents and relatives confirmed that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all care staff stated that residents are encouraged to build and maintain relationships.  Residents and relatives confirmed this and provided examples of a variety of community functions and groups they attend.  Visiting can occur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in an accessible and visible location.  Information about the complaints process is provided on admission.  All staff interviewed acknowledged that residents are encouraged to report concerns and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in place.  Three complaints have been lodged in 2018 (year to date) and all three were reviewed.  Corrective actions addressing these complaints have been implemented.  Timeframes for responding to each complaint met Health and Disability Commissioner (HDC) guidelines.  All complaints were documented as resolved.  No complaints have been lodged with HDC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are discussed (as appropriate) in the quarterly quality/health and safety meetings.  Interviews with residents and family confirmed that any issues that are raised are addressed and that they feel comfortable bringing up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Posters display the Code in visible locations in English and Māori.  On entry to the service, the unit manager discusses aspects of the Code with the resident and the family/whānau.  Written information is given to residents and/or next of kin/enduring power of attorney (EPOA) to read with the resident and discuss.  The service is able to provide information about the Code in different languages and/or in large print if requested.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All residents interviewed stated their needs were met and their privacy maintained.  Toilets and showers are shared between two residents’ rooms with appropriate privacy locks in place.</w:t>
            </w:r>
          </w:p>
          <w:p w:rsidR="00EB7645" w:rsidRPr="00BE00C7" w:rsidP="00BE00C7">
            <w:pPr>
              <w:pStyle w:val="OutcomeDescription"/>
              <w:spacing w:before="120" w:after="120"/>
              <w:rPr>
                <w:rFonts w:cs="Arial"/>
                <w:b w:val="0"/>
                <w:lang w:eastAsia="en-NZ"/>
              </w:rPr>
            </w:pPr>
            <w:r w:rsidRPr="00BE00C7">
              <w:rPr>
                <w:rFonts w:cs="Arial"/>
                <w:b w:val="0"/>
                <w:lang w:eastAsia="en-NZ"/>
              </w:rPr>
              <w:t>A policy describes spiritual care.  All residents and family interviewed indicated that each resident’s spiritual needs are being met.  Residents are supported to attend their own churches if they desire and church services are held on site.  During the audit a catholic priest provided communion for a selection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resident abuse and neglect.  There have been no reported instances of either.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Activities include Māori entertainers and celebrating Māori cultural events.  Staff training covers cultural safety.  Discussions with care staff confirmed that they are aware of the need to respond to cultural differences.  The service is able to access Māori advisors through links to local Māori advocacy groups (Māori Community Services, Treaty Resource Centre).  One resident identified as Māori.  This was identified in their care plan and the activities plan.  The resident was unable to be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their cultural and individual values were being met, and these were documented in care plans sampled.  Cultural activities are celebrated via the activities programme.  Multi-cultural entertainers and volunteers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a code of conduct.  The unit manager supervises staff to ensure professional practice is maintained in the service.  The abuse and neglect processes cover harassment and exploitation.  All residents interviewed reported that the staff respect them.  Job descriptions include responsibilities of the position, ethics, advocacy and legal issues.  The orientation and employee agreement provided to staff on induction includes standards of conduct/house rules.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cover pre-employment processes and the new employee’s requirement to attend orientation and ongoing in-service training.  The head office area managers are responsible for coordinating and completing the six-monthly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staff and residents’ meetings are conducted.  There is an in-service education and training programme that is implemented for staff and is complimented by the Auckland District Health Board training programmes for staff who work at aged care facilities.  Health care assistants interviewed stated that they feel supported by the unit manager, clinical coordinator/RN and staff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roster identifies the on-call RN when an RN is not on-site.  A house general practitioner (GP) visits the facility once per week.  The service receives support from the local district health board (DHB).  Physiotherapy services are available two hours per week.  A podiatrist visits every six to eight weeks.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links with the local community and encourages residents to remain as independent as they are able.  Year seven and year eight students from the local intermediate school visit the resident’s fortnightly.  Volunteers read to residents, assist with one-on-one craft activities, play board games, nail pampering and walks with residents.  Residents and relatives interviewed spoke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stated they were welcomed on entry and were given time and explanation about the services and procedures.  Accident/incidents, complaints procedures and the policy and processes around open disclosure alert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incidents/accidents forms were selected for review.  All forms reviewed indicated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Links are established with a range of external interpreters (e.g., Chinese Settlers, Chinese Liaison, Mercy Hospice and Friendly Society (Dutch).  Families and staff are utilised in the first instance.  At the time of the audit, there was one resident who was unable to communicate in English.  Staff communicated with this resident through family, applicable staff, sign language and communication cards.  Interpreter services are also available through the staff.  Health care assistants reported that they have interpreter cards to assist with translation.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Royal Oak is owned and operated by the CHT Healthcare Trust.  The service provides rest home level of care for up to 40 residents.  On the day of the audit there were 31 residents.  All residents were under the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(RN) and maintains an annual practicing certificate.  She was recently appointed to this role (3 September 2018).  Prior to this appointment she has been employed in management roles at CHT for the past seven years.  The clinical coordinator/RN also holds managerial responsibilities.  She has been in the role since 17 July 2018.  She qualified in New Zealand in March 2013 and has worked in aged care since this time.  </w:t>
            </w:r>
          </w:p>
          <w:p w:rsidR="00EB7645" w:rsidRPr="00BE00C7" w:rsidP="00BE00C7">
            <w:pPr>
              <w:pStyle w:val="OutcomeDescription"/>
              <w:spacing w:before="120" w:after="120"/>
              <w:rPr>
                <w:rFonts w:cs="Arial"/>
                <w:b w:val="0"/>
                <w:lang w:eastAsia="en-NZ"/>
              </w:rPr>
            </w:pPr>
            <w:r w:rsidRPr="00BE00C7">
              <w:rPr>
                <w:rFonts w:cs="Arial"/>
                <w:b w:val="0"/>
                <w:lang w:eastAsia="en-NZ"/>
              </w:rPr>
              <w:t>CHT Royal Oak has a performance plan (1 April 2018 – 31 March 2019) that lists performance goals for the facility that are centred on strategic themes.  The unit manager reports monthly (at a minimum) to the area manager regarding progress towards meeting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completed a minimum of eight hours of professional development in the past 12 months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clinical coordinator/RN is in charge.  A replacement RN is rostered in the absence of the clinical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advised that she is responsible for providing oversight of the quality programme.  Interviews with the managers and staff and review of the quarterly quality/health and safety meeting minutes confirmed that quality systems developed by CHT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are reviewed at a national level, with input from facility staff every two years.  New/updated policies are sent from head office.  Staff have access to manuals and read/sign off on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skin tears, pressure injuries, infections) are analysed with trends identified.  Results are discussed in the quarterly quality/health and safety meetings.  Minutes are posted in the staffroom for staff to read and sign.  A six-monthly internal audit programme is being implemented.  Areas of non-compliance identified are actioned for improvements and reflect sign-off by the area manager when completed.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health and safety management system.  There are risk management, and health and safety policies and procedures in place including accident and hazard management.  A health and safety representative (health care assistant) has been appointed and was available to be interviewed.  Staff complete a hazard reporting form when a hazard is identified.  Controls are in place to minimise hazards.  Hazard controls are regularly reviewed.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  Residents are surveyed regularly to gather feedback on the service provided and survey results are communicated to staff, residents and families.  Corrective actions are implemented where ratings indicate lower than anticipated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 and incident reporting policy is being implemented.  The unit manager or clinical coordinator investigates/signs off on all accidents and near misses.  Analyses of incident trends occur.  There is a discussion of incidents/accidents in the quality/health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that were sampled, documented clinical follow-up of residents by an RN.  Neurological observations are completed when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unit manager confirmed her awareness of the requirement to notify relevant authorities in relation to essential notifications.  One section 31 report has been completed since the last audit (a police investigation for a resident who absconded).  There have been no outbreaks or complaints involving HDC or coroner’s inquests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The recruitment and staff selection process require that relevant checks are completed to validate the individual’s qualifications, experience and veracity.  A copy of current practising certificates is retained for all health professionals (e.g., RNs, GPs, physiotherapist, podiatrist, pharmacy).  Five staff files reviewed (one clinical coordinator/RN, one staff RN, three HCAs) evidenced that interviews are completed before employment is offered.  All new employees undergo police vetting and reference checking.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interviews confirmed that staff are appropriately orientated to the service.  HCAs are buddied with a more senior HCA.  All five staff files reviewed reflected evidence of completed general and job-specific orientation programmes that included staff completing competency questionnaires.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that meets contractual requirements.  HCAs are expected to complete the Careerforce aged care education programme.  In addition to regular in-house training, the DHB hosts study days for both the RNs and HCAs.  The care staff attended the most recent study day (16 February 2018) that covered six hours of clinical education (swallowing, foot care, diabetes and ostomy care).  Staff are required to attend all CHT in-house mandatory training and two of four scheduled quality/health and safety meetings.  All four RNs (clinical coordinator and three staff RNs) are interRAI trained.  Staff undergo annual performance appraisals with a schedule implemented to notify the managers when appraisals are due.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policy includes staff rationale and skill mix.  There are four suites with ten rooms in each suite.  Sufficient staff are rostered on to manage the care requirements of the residents.  The unit manager (RN) and clinical coordinator (RN), work Monday – Friday (7.30 am – 4.30 pm).  They also share an on-call roster.</w:t>
            </w:r>
          </w:p>
          <w:p w:rsidR="00EB7645" w:rsidRPr="00BE00C7" w:rsidP="00BE00C7">
            <w:pPr>
              <w:pStyle w:val="OutcomeDescription"/>
              <w:spacing w:before="120" w:after="120"/>
              <w:rPr>
                <w:rFonts w:cs="Arial"/>
                <w:b w:val="0"/>
                <w:lang w:eastAsia="en-NZ"/>
              </w:rPr>
            </w:pPr>
            <w:r w:rsidRPr="00BE00C7">
              <w:rPr>
                <w:rFonts w:cs="Arial"/>
                <w:b w:val="0"/>
                <w:lang w:eastAsia="en-NZ"/>
              </w:rPr>
              <w:t>A staff RN is rostered on the AM shift over the weekends.  One additional RN staff covers the PM shift from 4.00 pm – 8.00 pm, seven days a week.  Two HCAs are rostered for a full eight-hour shift on the AM, PM and night shifts.  One health care assistant is responsible for two suites.  The unit manager confirmed that the current roster with 31 residents living at the facility is the same as the roster that is implemented when the facility is full (with 40 residents).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staff are rostered seven days a week.  There are separate cleaning staff available seven days a week.  Laundry, kitchen and cleaning services are outsourced.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Other residents or members of the public cannot view sensitive resident information.  Entries in records are legible, dated and signed by the relevant health care assistant or registered nurse.  Individual resident files demonstrate service integration.  Archived records are retained at the facility in a separate and secure location.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prior to entry to the service by the needs assessment team, and an initial assessment was completed on admission in files sampled.  The service has an information pack available for residents/families/whānau at entry and it includes associated information such as the Code, advocacy, informed consent, and the complaints procedure.  All files reviewed included the admission agreement, which aligns with the age-related residential care services agreement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four weekly robotic packs is completed by the RN and any errors fed back to the pharmacy.  Registered nurses, and medication competent HCAs who administer medications, have been assessed for competency.  Education around safe medication administration has been provided annually.  The service uses an electronic medication system.  Medications were stored safely in a central medication room.  The medication fridge is monitored weekly.  All eye drops and creams in medication trolleys were dated on opening.  There were four residents self-medicating on the day of audit and all residents had signed medication competencies on file.  The medications are not stored in resident rooms but are delivered to the residents at charted times.  </w:t>
            </w:r>
          </w:p>
          <w:p w:rsidR="00EB7645" w:rsidRPr="00BE00C7" w:rsidP="00BE00C7">
            <w:pPr>
              <w:pStyle w:val="OutcomeDescription"/>
              <w:spacing w:before="120" w:after="120"/>
              <w:rPr>
                <w:rFonts w:cs="Arial"/>
                <w:b w:val="0"/>
                <w:lang w:eastAsia="en-NZ"/>
              </w:rPr>
            </w:pPr>
            <w:r w:rsidRPr="00BE00C7">
              <w:rPr>
                <w:rFonts w:cs="Arial"/>
                <w:b w:val="0"/>
                <w:lang w:eastAsia="en-NZ"/>
              </w:rPr>
              <w:t>Twelve medication charts were reviewed.  All medication charts had photographs and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and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and all food is cooked on site by contracted kitchen staff.  The qualified kitchen manager is supported by a weekend cook and kitchen hands.  Staff have been trained in food safety and chemical safety.  All meals and baking are prepared and cooked on site.  The seasonal menu has been designed in consultation with the dietitian.  There is a food services manual in place to guide staff.  The registered food control plan has been verified and is due for renewal in April 2019.  A resident nutritional profile is developed for each resident on admission and this is provided to the kitchen staff.  This document is reviewed at least six monthly as part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able to meet the needs of residents who require special diets and the kitchen manager works closely with the clinical coordinator or RN on duty.  Meals are placed in the bain marie in the adjacent dining room and plated by kitchen and care staff.  Resident dislikes are accommodated and listed on a whiteboard and spreadsheet.  Alternative foods are available.  Cultural, religious and food allergies are accommodated.  Nutritious snacks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daily.  The chilled goods temperature is checked on delivery.  Food serving temperatures are monitored and recorded.  All foods were date labelled.  A cleaning schedule is maintained for the kitchenhands.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resident survey and direct contact with the food services staff.  Residents and relatives interviewed, spoke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Anyone declined entry is referred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six resident files reviewed evidenced a care needs level assessment completed by the need’s assessment and service coordination team prior to admission.  Personal needs information was gathered during admission, which formed the basis of resident goals and objectives in files sampled.  Appropriate assessment tools were completed, and assessments were reviewed at least six monthly or when there was a change to a resident’s health condition in files sampled.  Assessments such as behavioural assessments were completed for identified behavioural issues in files sampled.  The interRAI assessment tool was evident in all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and family interviews identified that family were involved in the care plan development and ongoing care needs of the resident.  The initial care plan is developed from the initial assessment and identifies the areas of concern or risk.  The long-term care plan recorded the resident’s current abilities, their level of independence, the problem/need, objectives and interventions for identified issues in all six files reviewed.  Short-term care plans were utilised for acute health needs such as infections.  Specific behavioural management strategies were included in care planning.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provided is consistent with the needs of residents as demonstrated in the review of the care plans and discussion with health care assistants, registered nurses (including the clinical coordinator), activity staff and management.  Care plans reviewed were current and demonstrated interventions met the residents’ assessed needs.  RNs and HCAs report progress against the care plan when required or at least weekly.  If external nursing or allied health advice is required the RNs will initiate a referral (e.g., to the wound specialist nurse).  If external medical advice is required, this will be actioned by the GP.  Communication with family is documented on the family/whānau consultation sheet or in progress notes.  Short-term care plans are available for use for changes in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Specialist continence advice is available as needed and this could be described by the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Monthly weighs have been completed in all six files sampled.  Referral to dietitian occurs as required, as confirmed in sampled files.  Monitoring charts are in use for food and fluid intake.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plans and monitoring were in place for six wounds (three ulcers, two basal cell carcinomas’ and a bruise).  There were no pressure injuries.  All wounds have been reviewed in appropriate timeframes and specialised wound management advice through the district nursing service was evident in wounds reviewed.  Dressing supplies are available, and the treatment room is stocked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(including the clinical coordinator) and health care assistants demonstrated an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Royal Oak has implemented a programme over seven days from 9.00 am to 1.00 pm each day.  The qualified diversional therapist (DT) works Monday to Thursday and is responsible for developing the programme.  Two-part time staff cover Friday to Sunday.  Each resident has an individual activities assessment on admission and from this information an individual activities plan is developed as part of the care plan by the registered nurses, with input from the activities staff.  Residents are free to choose when and what activities they wish to participate in.  An individual activities attendance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programme of activities is provided by a DT and two activity coordinators and involves maintaining the resident’s interests.  There is a high level of community involvement, which includes local schools, kindergartens, various church and cultural groups.  Regular cultural input is provided by a Japanese story teller, Chinese dance association and Scottish and Indian groups.  The programme includes word games, karaoke, bingo, relaxation lessons, entertainment and craft.  CHT Royal Oak contracts a van for outings.  An activities plan is posted on the hallway noticeboard.  There is a focus on promoting and improving cognitive function through group and one-on-one activities.  Family interviews indicated they find the programme enjoyable and interesting.  The service has exceeded the standard required for the provision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or registered nurses evaluate all initial care plans within three weeks of admission.  Comprehensive evaluations reviewed were completed six monthly by a RN and changes to care documented in the care plan.  Short-term care plans are evaluated and resolved or added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three monthly or when requested, if issues arise or health status changes.  The GP expressed satisfaction with the service and advised that nursing staff are prompt at informing of changes in the residents’ condition and carry out instructions.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(e.g., diabetic services, wound nurse specialist services, physiotherapist and mental health services for older people).  Referrals to specialists are made by the GP.  Referral forms and documentation are maintained on resident files as sighted.  Family/whānau interviewed, reported they are involved as appropriate when referral to another service happens.  Referrals and options for care were discussed with the family, as evidenced in interviews and medical notes.  The staff provided examples of where a resident’s condition had changed, and the resident was reassessed.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expires 4 December 2018.  CHT employs a full-time maintenance coordinator to ensure all reactive and planned maintenance is managed.  Maintenance staff are on site one day a week and as required.  There is on call staff available 24/7.  All medical and electrical equipment was serviced, tested and tagged and/or calibrated.  Hot water temperatures are monitored and managed within 43-45 degrees Celsius.  The facility has sufficient space for residents to mobilise using mobility aids.  The external area is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sufficient number of toilets and shower/bathing areas for residents and separate toilets for staff and visitors.  All bedrooms have a shared ensuite with their neighbour, with electronic occupancy indicators.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at CHT Royal Oak are single rooms.  The resident rooms are of sufficient size to meet the residents’ assessed needs.  Residents are able to manoeuvre mobility aids around the bed and personal space.  All beds are of an appropriate height for the residents.  Caregivers interviewed reported that rooms have sufficient space to allow cares to take place.  The bedrooms were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the main dining room and four separate lounge areas, one for each suite of 10 residents.  The communal areas are easily and safely accessible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Royal Oak has documented systems for monitoring the effectiveness and compliance with the service policies and procedures.  All laundry is done off-site except kitchen laundry, personal items and facecloths, and hand washed clothes.  Housekeeping staff attend infection control education and there is appropriate protective clothing available.  Manufacturer’s data safety charts are available.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with the last drill taking place on 26 April 2018.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Fire training and security situations are part of the orientation of new staff.  Emergency equipment is available at the facility.  There are adequate supplies in the event of a civil defence emergency including food, water, blankets and gas cooking.  Short-term back-up power is installed for emergency lighting.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access to their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sliding doors and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an RN has been in the role for three years and has a signed job description on file.  Infection control is included as a part of the quality team meetings and discussion is included in staff meetings.  The infection control programme has been reviewed in June 2017.  Spot audits have been conducted and include hand hygiene and infection control practices.  Education is provided for all new staff on orientation.  Visitors are asked not to visit if they have been unwell.  There are hand sanitisers throughout the facility and adequate supplies of personal protective equipment.  There have been no outbreaks at CHT Royal Oak since 2015.  The ICC is aware of situations where there is requirement to notify authorities.  The service has exceeded the standard required around prevention of urinary infections (UTI).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CHT Royal Oak is the designated infection control (IC) coordinator.  There are adequate resources to implement the infection control programme for the size and complexity of the organisation.  The IC coordinator and IC team (comprising all staff) have good external support from the local laboratory infection control team, Bug Control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in June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 staff RN is the designated restraint coordinator.  Staff interviews, and staff records evidence guidance has been given on restraint minimisation and safe practice (RMSP), enabler usage and prevention and/or de-escalation techniques.  Policies and procedures include definitions of restraints and enablers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RMSP/enablers begins during the new care staff’s orientation to the facility.  There were no residents with restraints or enablers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354"/>
        <w:gridCol w:w="74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interview, the area manager (also the previous unit manager) advised of education on cognitive stimulation therapy (CST) and the benefits of applying this therapy to improve cognitive function and quality of life in residents with mild to moderate dementia.  Cognitive stimulation therapy goals include the promotion of cognitive function for as long as possible, to preserve independence and to increase or re-establish self-worth by improving self-confidence and providing motivation to perform activities that require cognitive effort.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Royal Oak supported two staff members (AC and HCA) to qualify as cognitive stimulation therapists.  The qualified staff then implemented a programme over fourteen sessions, running twice a week for seven weeks.  A group of six residents from different suites within the facility were selected to participate.  Over the course of the programme the confidence level of staff and residents increased each time, and residents were open to socialising with other residents.  Feedback from participants following the sessions was very positive and included feeling more relaxed and confident, with increased concentration and engagement in life.  It was decided to continue with monthly maintenance sessions for the selected resident group.  This initiative won the unit merit award for this year’s CHT focus on Care Awards.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and there are clear lines of accountability for infection control matters in the organisation leading to the governing body and/or senior management.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correlates all infections every month and analyses the data to identify trends.  On identifying the increasing UTI trend at the end of 2017, the ICC met with the UM and quality team to identify strategies to reduce the current rate.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identified increasing urinary tract infections (UTIs) in 2017, with data identifying 14 UTIs for the year.  The ICC proposed strategies to reduce this.  Commencing in January 2018, a hydration nurse was appointed to promote and monitor fluid intake with fluid rounds scheduled throughout the day.  The hydration nurse reports to the quality meeting with results and identified concerns.  The ICC nurse liaised with the GP and family and commenced all residents at high risk of UTIs on cranberry capsules and Ovestin crème.  All staff received specific education on UTI management and prevention and basic hygiene cares when caring for residents.  Residents were educated at monthly meetings on hand hygiene, UTI prevention and the importance of hydration.  Following the introduction of these measures the UTI rate to April reduced to four events, and there have been no UTIs since April.  The benefit of the reduced UTI rate can be directly related to other adverse health events such as a reduction in delirium, falls and hospital admissions.  The reduction in UTIs relating to specific residents has had a positive impact on their quality of life.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Royal Oak Rest Home</w:t>
    </w:r>
    <w:bookmarkEnd w:id="58"/>
    <w:r>
      <w:rPr>
        <w:rFonts w:cs="Arial"/>
        <w:sz w:val="16"/>
        <w:szCs w:val="20"/>
      </w:rPr>
      <w:tab/>
      <w:t xml:space="preserve">Date of Audit: </w:t>
    </w:r>
    <w:bookmarkStart w:id="59" w:name="AuditStartDate1"/>
    <w:r>
      <w:rPr>
        <w:rFonts w:cs="Arial"/>
        <w:sz w:val="16"/>
        <w:szCs w:val="20"/>
      </w:rPr>
      <w:t>20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