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Avonlea Trust Board - Avonlea Hospital and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Avonlea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Avonlea Hospital and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July 2018</w:t>
      </w:r>
      <w:bookmarkEnd w:id="7"/>
      <w:r w:rsidRPr="009418D4">
        <w:rPr>
          <w:rFonts w:cs="Arial"/>
        </w:rPr>
        <w:tab/>
        <w:t xml:space="preserve">End date: </w:t>
      </w:r>
      <w:bookmarkStart w:id="8" w:name="AuditEndDate"/>
      <w:r w:rsidR="00A4268A">
        <w:rPr>
          <w:rFonts w:cs="Arial"/>
        </w:rPr>
        <w:t>19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Avonlea Hospital and Rest Home provides rest home and hospital level care for up to 50 residents. The service is operated by The Avonlea Trust Board and is managed by a facility/nurse manager and a clinical nurse leader. There have no significant changes since the previous certification audit in 2016. </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Waikato District Health Board. The audit process included review of policies and procedures, review of residents’ and staff files, observations and interviews with residents, family members, managers, staff, and a visiting social worker. No general practitioners (GPs) were willing to be interviewed. Residents and their families spoke positively about the care provided.</w:t>
      </w:r>
    </w:p>
    <w:p w:rsidRPr="00A4268A">
      <w:pPr>
        <w:spacing w:before="240" w:line="276" w:lineRule="auto"/>
        <w:rPr>
          <w:rFonts w:eastAsia="Calibri"/>
        </w:rPr>
      </w:pPr>
      <w:r w:rsidRPr="00A4268A">
        <w:rPr>
          <w:rFonts w:eastAsia="Calibri"/>
        </w:rPr>
        <w:t xml:space="preserve">Corrective actions have resolved the three areas needing improvement at the 2016 certification audit, which related to analysis and evaluation of quality data, detail in controlled medicines recordings, medicine fridge and food temperatures. This audit identified four new areas requiring improvements. These relate to the timeliness of initial GP reviews, review and closure of short term care plans, storage of food and medicines and the competencies of staff stocktaking the controlled medicines. There is a rating of continuous improvement for achievements in governance.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The quality and risk management system includes internal audits, and the collection and analysis of quality improvement data. This data is benchmarked with eight other facilities and identifies trends and leads to improvements. Staff are involved, and feedback is sought from residents and families. Policies and procedures support service delivery. These were current and are reviewed regularly.</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The processes for assessment, planning, provision, evaluation, review and exit are provided that meet the needs of the residents.</w:t>
      </w:r>
    </w:p>
    <w:p w:rsidRPr="00A4268A" w:rsidP="00621629">
      <w:pPr>
        <w:spacing w:before="240" w:line="276" w:lineRule="auto"/>
        <w:rPr>
          <w:rFonts w:eastAsia="Calibri"/>
        </w:rPr>
      </w:pPr>
      <w:r w:rsidRPr="00A4268A">
        <w:rPr>
          <w:rFonts w:eastAsia="Calibri"/>
        </w:rPr>
        <w:t xml:space="preserve">All residents have interRAI assessments completed and individualised care plans related to this programme.   All care plans are evaluated at least six monthly.  </w:t>
      </w:r>
    </w:p>
    <w:p w:rsidRPr="00A4268A" w:rsidP="00621629">
      <w:pPr>
        <w:spacing w:before="240" w:line="276" w:lineRule="auto"/>
        <w:rPr>
          <w:rFonts w:eastAsia="Calibri"/>
        </w:rPr>
      </w:pPr>
      <w:r w:rsidRPr="00A4268A">
        <w:rPr>
          <w:rFonts w:eastAsia="Calibri"/>
        </w:rPr>
        <w:t>The service provides planned activities meeting the needs of the residents as individuals and in group settings.  Families reported that they are encouraged to participate in the activities of the facility and those of their relatives.</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Avonlea Rest Home and Hospital adheres to its policies and procedures which support the minimisation of restraint. There were thirteen restraints in use at the time of this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Surveillance for infections is completed every month.  Results of surveillance are reviewed to assist in minimising and reducing the risk of infection.  The infection surveillance results are reported back to staff and residents, where appropriate,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9"/>
        <w:gridCol w:w="1280"/>
        <w:gridCol w:w="100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complaints register had five complaints recorded since June 2016 - one of these was an outgoing complaint from the facility. Letters of acknowledgement, ongoing communications and records of investigations are being completed within acceptable timeframes. A complaint from the local hospital to WDHB, was investigated by the DHB and the provider. The investigations were inconclusive. The provider has reviewed processes and implemented changes to minimise recurrence.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complaints management and follow up. All staff interviewed confirmed a sound understanding of the complaint process and what actions are required. There have been no known complaints to the Office of the Health and Disability Commissioner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relative’s status, were advised in a timely manner about any incidents or accidents and outcomes of regular and any urgent medical reviews. This was supported in residents’ records reviewed.  Staff and the manager interviewed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but this has not been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longer-term objectives and the associated operational plans. A sample of reports to the trust board showed adequate information to monitor performance is reported including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nurse manager who holds qualifications and has been in the role for 12 years. Responsibilities and accountabilities are described in a job description and individual employment agreement. The manger confirmed knowledge of the sector, regulatory and reporting requirements and maintains currency through a post with the regional chapter of the NZ Age Care Association and regular meetings with other facility managers in the Community Trust Care Association (CTCA) group. CTCA is part of a business entity comprising nine aged care facilities who share common factors, such as being located rurally and governed by not for profit organisations. This has led to improvements in business operations and resident care.</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Waikato DHB for hospital-geriatric and medical, rest home, and respite care with a maximum capacity of 50 beds. On the day of audit there were 39 residents occupying beds. Thirteen were assessed as hospital level care, which included one person under the age of 65 and 27 rest home residents. Two of these were short stay/respite and one resident was at Waikato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quality and risk system that reflects the principles of continuous quality improvement. A part time quality officer manages the system. This includes collation and analysis of incidents, infections and complaints, carrying out regular resident and family satisfaction surveys and internal audits, and reporting outcomes. Where areas for improvement are identified these are documented and actions are monitored for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data and benchmarking with eight other age care facilities. This and the work completed by the quality officer provides sufficient evidence to address the previous requirement for more detailed analysis and evaluation of quality data. Analysis of urinary tract infections (UTIs) identified a data error from over reporting. This has significantly reduced the overall rate of UTIs.</w:t>
            </w:r>
          </w:p>
          <w:p w:rsidR="00EB7645" w:rsidRPr="00BE00C7" w:rsidP="00BE00C7">
            <w:pPr>
              <w:pStyle w:val="OutcomeDescription"/>
              <w:spacing w:before="120" w:after="120"/>
              <w:rPr>
                <w:rFonts w:cs="Arial"/>
                <w:b w:val="0"/>
                <w:lang w:eastAsia="en-NZ"/>
              </w:rPr>
            </w:pPr>
            <w:r w:rsidRPr="00BE00C7">
              <w:rPr>
                <w:rFonts w:cs="Arial"/>
                <w:b w:val="0"/>
                <w:lang w:eastAsia="en-NZ"/>
              </w:rPr>
              <w:t>Quality data and information is reported and discussed at regular health and safety, infection control, restraint and quality and risk team meetings, and general staff meetings. Staff reported their involvement in quality and risk management activities through audit activities, training and information shared at meetings. The manager notifies all staff of corrective actions or policy/process changes by memos and verbally at meetings. Review of the most recent resident and family satisfaction surveys revealed no significant issues and moderate to high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risk management plan which is monitored by the manager and the Board. The manager is familiar with the Health and Safety at Work Act (2015) and described processes for the identification, monitoring, review and reporting of risks and development of mitigation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from 2016 to 2018 year to date revealed clear descriptions of the event, that the incidents were reviewed and investigated by the manager, and where necessary action plans developed. There was evidence that actions are monitored for implementation. Adverse event data is collated, analysed and reported to staff. Falls, urinary tract infections, skin tears and hospital admissions are benchmarked with the eight other facilities who belong to CTCA. Review of the comparative data showed a low rate of adverse events and a reduction in UTI’s (refer Standard 1.2.3)</w:t>
            </w:r>
          </w:p>
          <w:p w:rsidR="00EB7645" w:rsidRPr="00BE00C7" w:rsidP="00BE00C7">
            <w:pPr>
              <w:pStyle w:val="OutcomeDescription"/>
              <w:spacing w:before="120" w:after="120"/>
              <w:rPr>
                <w:rFonts w:cs="Arial"/>
                <w:b w:val="0"/>
                <w:lang w:eastAsia="en-NZ"/>
              </w:rPr>
            </w:pPr>
            <w:r w:rsidRPr="00BE00C7">
              <w:rPr>
                <w:rFonts w:cs="Arial"/>
                <w:b w:val="0"/>
                <w:lang w:eastAsia="en-NZ"/>
              </w:rPr>
              <w:t>The manger reported there have been no notifications to the Ministry of Health or the DHB and public health as per the Section 31 reporting requirements. There have been no significant events such as outbreaks, police investigations, coroner’s inquests, or issues-based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five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followed by an initial performance review.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The clinical leader is maintaining annual competency requirements to undertake interRAI assessments. Two other RNs have just completed their interRAI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for the number of residents and their needs. There are adequate staff available to replace when there are unplanned absences.  At least one staff member on duty has a current first aid certificate and there is 24//7 RN coverage.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however not all medication sighted was stored as per requirement.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as required.</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 however, the second checker (quality officer) has not completed their medication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not consistently recorded on the electronic medicine chart; however, evidence was sighted in residents’ notes to show that this occurred.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There is an implemented process for comprehensive analysis of any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The previous audit identified an area for improvement to ensure that the controlled drugs had a weekly stocktake completed that records all information required, and the medication fridge temperatures were not being monitored as frequently as required.  Both areas have been addressed, and records were available to demonstrate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one of whom is the kitchen manager, and supported by kitchen staff. The menu is in line with recognised nutritional guidelines for older people,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transportation, delivery and disposal comply with current legislation and guidelines; however, not all food sighted was stored appropriately.   The facility has lodged documentation with the Ruapehu District Council and is awaiting a food safety guide certificate.  A grade is pending as the facility is currently awaiting an inspection from the Council.  The previous audit identified an area for improvement to ensure that food temperatures were taken for cooked meat.  The corrective action has been addressed, and records were available to demonstrate this.  Food temperatures, including for high risk items, are monitored appropriately and recorded as part of the plan. The cook interviewed has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All food is cooked on site and delivered to two dining rooms, with residents also provided with the option of eating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The three GP’s were unavailable at the time of audit to be interviewed.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one trained diversional therapist and an activities co-ordinator.   The activities staff support residents from Monday to Friday 9.00 am to 5.00pm.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Several residents are independent and encouraged to connect and interact with the community, while other residents are supported by the staff and groups in the community to partake in regular community activities and groups.   Residents and families/whānau are involved in evaluating and improving the programme through residents’ meetings and day to day discussions. Residents interviewed confirmed they find the programme interactive and fun.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and there is evidence of when changes occur documented throughout the ten residents’ files reviewed.</w:t>
            </w:r>
          </w:p>
          <w:p w:rsidR="00EB7645" w:rsidRPr="00BE00C7" w:rsidP="00BE00C7">
            <w:pPr>
              <w:pStyle w:val="OutcomeDescription"/>
              <w:spacing w:before="120" w:after="120"/>
              <w:rPr>
                <w:rFonts w:cs="Arial"/>
                <w:b w:val="0"/>
                <w:lang w:eastAsia="en-NZ"/>
              </w:rPr>
            </w:pPr>
            <w:r w:rsidRPr="00BE00C7">
              <w:rPr>
                <w:rFonts w:cs="Arial"/>
                <w:b w:val="0"/>
                <w:lang w:eastAsia="en-NZ"/>
              </w:rPr>
              <w:t>Examples of short term care plans were sighted for infections and falls; however, not all short-term care plans were consistently reviewed, and progress evaluated as clinically indicated.  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(BWOF) due to expire on 15 May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coordinator/registered nurse reviews all reported infections, and these are documented.  New infections and any required management plans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(refer to criterion 1.2.3).  Results of the surveillance programme are shared with staff via regular staff meetings and at staff handovers.  Twenty-eight residents in April/May of 2018 consented to have the ‘flu’ vaccine.</w:t>
            </w:r>
          </w:p>
          <w:p w:rsidR="00EB7645" w:rsidRPr="00BE00C7" w:rsidP="00BE00C7">
            <w:pPr>
              <w:pStyle w:val="OutcomeDescription"/>
              <w:spacing w:before="120" w:after="120"/>
              <w:rPr>
                <w:rFonts w:cs="Arial"/>
                <w:b w:val="0"/>
                <w:lang w:eastAsia="en-NZ"/>
              </w:rPr>
            </w:pPr>
            <w:r w:rsidRPr="00BE00C7">
              <w:rPr>
                <w:rFonts w:cs="Arial"/>
                <w:b w:val="0"/>
                <w:lang w:eastAsia="en-NZ"/>
              </w:rPr>
              <w:t>The facility averages 20 infections a month.  Four residents have been identified as frequently requiring antibiotics for infections due to co-morbidities.  A further two residents have been identified as requiring prophylactic antibiotics.  The residents’ files reviewed highlighted short term and long-term care planning to reduce and minimise the risk of infection, however not all short-term plans for infections had been reviewed and closed (refer to criterion 1.3.8.2).  Care staff interviewed demonstrated knowledge of residents who have a higher risk of infections and the interventions required.  Data is benchmarked externally with eight other facilities within the CTCA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register is being maintained and was current and accurate. On the day of audit there were 13 residents using bedrails and lap belts for safety reasons and/or to promote independent mobilisation. The service applies the same assessment, consent, monitoring and review processes for all safety interventions whether they are voluntary or not. A sample of two residents’ records and observations confirmed that restraint documentation and the use of devices complies with this standard.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6"/>
        <w:gridCol w:w="1280"/>
        <w:gridCol w:w="6871"/>
        <w:gridCol w:w="1561"/>
        <w:gridCol w:w="18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nurse leader interviewed could recall the proper procedures required when checking the controlled drugs weekly stocktake and the safe storage and disposal of medications no longer in use.  The clinical nurse leader and quality manager check and document the controlled drugs weekly stocktake.  The clinical nurse leader is medication competent, however the quality officer who has supported the clinical nurse leader as second checker in the controlled drug weekly stocktake for one year is not a registered nurse or medication competent.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observing the kitchenette fridge in the main hospital lounge/dining area, three liquid antibiotics for one resident were found with one of the antibiotics having expired.  The clinical nurse leader when interviewed stated that the resident for whom the antibiotics were prescribed had deceased seven days prior.   At the time of the audit the clinical nurse manager removed the antibiotics and organised them to be returned to the pharmacy.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administration processes were not undertaken in accordance with the facility’s policy and good practice in relation to checking, storing and disposal of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staff supporting medication management is medication competent and all medication is stored securely and disposed of as per medication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procurement, production and preparation comply with current legislation and guidelines.  The cook interviewed was aware of the guidelines.  Not all food in the fridge of the hospital kitchenette, main kitchen freezer and chiller had food covered or dated.  Food in dry stores is rotated but do not have dates written/recorded when transferred into new containers.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food sighted in the main kitchen fridge/chiller and dry stores or hospital kitchenette fridge was labelled, dated and or covered.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that storage of food complies with current legislation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evident from staff interviewed that they knew the residents well.  Family/whanau interviewed stated that they were happy with the care and communication provided.  The admitting GP also knew the residents well as the residents belonged to one of the three GP practices prior to admission to the facility.  One resident admitted to the facility on the 30 April 2018 was not admitted by a GP until the 31 May 2018.   The clinical nurse leader confirmed that a resident admitted to the facility on the 1 May 2018 had been seen by the GP; however, not with the required timeframe and there was no evidence of any initial consultation GP admission notes.  One resident was admitted on the 30 April 2018 and was not admitted to the facility by the GP until the 29 May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residents were admitted to the facility by a GP within required time 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each stage of service provision (assessment, planning, provision, evaluation, review) are completed within timeframes to meet contractual, legislative requirements and good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had a short-term care plan specific and individual to the resident.  Staff interviewed stated that they knew the residents very well and were able to identify and meet their needs.  The clinical nurse leader stated that residents commenced on antibiotics are discussed at staff handover.   Residents and families confirmed in interviews their involvement in the assessment process and stated that they were very happy with the care provided.  Five short term care plans were sighted in ten resident files for infections.  Four of the five short term care plans were not reviewed and or evaluated on the short term care plan and/or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short-term care plans sighted were reviewed and or evaluated.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short term care plans are reviewed and evaluated.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6"/>
        <w:gridCol w:w="1280"/>
        <w:gridCol w:w="7597"/>
        <w:gridCol w:w="3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Avonlea Hospital and Rest Home has joined eight other aged care facilities in the wider Waikato community who are governed by charitable trusts. The group formed a company, Community Trust Care Association (CTCA) in 2014 which received a finalist’s award for Business Innovation by an International Forum (Eldercare Innovation Awards) in 2017.</w:t>
            </w:r>
          </w:p>
          <w:p w:rsidR="00EB7645" w:rsidRPr="00BE00C7" w:rsidP="00BE00C7">
            <w:pPr>
              <w:pStyle w:val="OutcomeDescription"/>
              <w:spacing w:before="120" w:after="120"/>
              <w:rPr>
                <w:rFonts w:cs="Arial"/>
                <w:b w:val="0"/>
                <w:lang w:eastAsia="en-NZ"/>
              </w:rPr>
            </w:pPr>
            <w:r w:rsidRPr="00BE00C7">
              <w:rPr>
                <w:rFonts w:cs="Arial"/>
                <w:b w:val="0"/>
                <w:lang w:eastAsia="en-NZ"/>
              </w:rPr>
              <w:t>The aims of the Trust are to work collaboratively and share resources in ways that sustain and support the individual trusts (eg, bulk purchase of products and supply agreements, benchmarking and information systems).  A recent evaluation has proved cost savings, for example $35,000 saved in continence supplies over a three-year period.  Qualitative measures include enhancing all directors’ professionalism and overall improved governance, and gains from providing peer support for a range of employees who were previously working in isolation, for example, activities staff, clinical managers, and facility managers. The group is also working together to share methods and resources for staff education which has improved the frequency and calibre of ongoing staff training. There is now monthly benchmarking of adverse events which benefits each service by providing them with comparative data and using group intelligence to identify how to halt unwanted trends and replicate favourable trends.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benefits resulting from the formation of CTCA have been evaluated and proven using qualitative and quantitative measures.  Residents have benefited from ideas for different activities generated at activities meetings, improved performance of managers and clinical nurse leaders who feel more supported in their roles and an increase in other staff skills and knowledge. This was witnessed on the day of the audit, when the manager sought advice and support from other facility managers.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Avonlea Trust Board - Avonlea Hospital and Home</w:t>
    </w:r>
    <w:bookmarkEnd w:id="58"/>
    <w:r>
      <w:rPr>
        <w:rFonts w:cs="Arial"/>
        <w:sz w:val="16"/>
        <w:szCs w:val="20"/>
      </w:rPr>
      <w:tab/>
      <w:t xml:space="preserve">Date of Audit: </w:t>
    </w:r>
    <w:bookmarkStart w:id="59" w:name="AuditStartDate1"/>
    <w:r>
      <w:rPr>
        <w:rFonts w:cs="Arial"/>
        <w:sz w:val="16"/>
        <w:szCs w:val="20"/>
      </w:rPr>
      <w:t>19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