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Kapiti Retirement Trust - Sevenoaks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Kapiti Retirement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Sevenoaks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August 2018</w:t>
      </w:r>
      <w:bookmarkEnd w:id="7"/>
      <w:r w:rsidRPr="009418D4">
        <w:rPr>
          <w:rFonts w:cs="Arial"/>
        </w:rPr>
        <w:tab/>
        <w:t xml:space="preserve">End date: </w:t>
      </w:r>
      <w:bookmarkStart w:id="8" w:name="AuditEndDate"/>
      <w:r w:rsidR="00A4268A">
        <w:rPr>
          <w:rFonts w:cs="Arial"/>
        </w:rPr>
        <w:t>23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unannounced surveillance audit included review of four beds in the hospital wings of The Lodge. These have been re-designated from hospital to dual use beds so that residents can receive rest home level care in these rooms (Refer letter from HealthCERT 15 February 2018).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Kapiti Retirement Trust provides hospital, dementia and rest home level care for up to 59 residents at The Lodge aged care facility in Paraparaumu on the Kapiti Coast. The facility is part of an extensive retirement village community known as Sevenoaks and Midland Gardens.  The Trust is run by a chief executive officer (CEO) who has responsibility for all services on the site. </w:t>
      </w:r>
    </w:p>
    <w:p w:rsidRPr="00A4268A">
      <w:pPr>
        <w:spacing w:before="240" w:line="276" w:lineRule="auto"/>
        <w:rPr>
          <w:rFonts w:eastAsia="Calibri"/>
        </w:rPr>
      </w:pPr>
      <w:r w:rsidRPr="00A4268A">
        <w:rPr>
          <w:rFonts w:eastAsia="Calibri"/>
        </w:rPr>
        <w:t xml:space="preserve">The aged care facility is managed by a Group Manager Resident Wellness and a team of three clinical managers. Since the previous certification audit, four hospital beds have been changed to dual purpose use, so that residents who require rest home care can be supported at The Lodge. Residents and families spoke positively about the care provided at the facility.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provider’s contract with the Capital and Coast District Health Board (C&amp;CDHB). The audit process included review of policies and procedures, review of residents and staff files, observations and interviews with residents, families, management, staff, and a general practitioner.  </w:t>
      </w:r>
    </w:p>
    <w:p w:rsidRPr="00A4268A">
      <w:pPr>
        <w:spacing w:before="240" w:line="276" w:lineRule="auto"/>
        <w:rPr>
          <w:rFonts w:eastAsia="Calibri"/>
        </w:rPr>
      </w:pPr>
      <w:r w:rsidRPr="00A4268A">
        <w:rPr>
          <w:rFonts w:eastAsia="Calibri"/>
        </w:rPr>
        <w:t>This audit has resulted in one area requiring improvement relating to the use of enablers.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mission and values of the organisation are documented in plans, communicated to residents, families and staff and on display throughout the facility. There are quality and risk management plans and procedures which guide related activities. Monitoring of service delivery occurs regularly and is reported to the CEO and Trust Board.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Kapiti Retirement Trust (Sevenoaks Lodge) have their needs assessed on admission, within the required timeframes. Verbal handovers and communication sheets guide the passing on of information between shifts and enables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three diversional therapists, a recreational assistant and is assisted by volunteers. The programme provides residents with a variety of individual and group activities and maintains their links with the community.  Facility vans are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enrolled nurses and health care assistants,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the required food safety training, as verified in their approved Food Control Plan. The kitchen was well organised, clean and meets food safety standards. Residents verified a high level of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w:t>
      </w:r>
    </w:p>
    <w:p w:rsidRPr="00A4268A">
      <w:pPr>
        <w:spacing w:before="240" w:line="276" w:lineRule="auto"/>
        <w:rPr>
          <w:rFonts w:eastAsia="Calibri"/>
        </w:rPr>
      </w:pPr>
      <w:r w:rsidRPr="00A4268A">
        <w:rPr>
          <w:rFonts w:eastAsia="Calibri"/>
        </w:rPr>
        <w:t>Four hospital rooms have been re-designated to dual use so that residents who require rest home level can be supported at The Lodge. They are fit for purpose.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available on the safe use of restraints and enablers.  The use of enablers is described as being voluntary and systems are available for this to occur.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7"/>
        <w:gridCol w:w="1280"/>
        <w:gridCol w:w="102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manager resident wellness manages complaints and demonstrated an understanding of the Code of Health and Disability Services Consumers Rights (the Code). The organisation’s policy on complaints/concerns/issues includes a form used for reporting which also meets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complaints have been received since the beginning of 2018 and that actions taken, through to an agreed resolution, were documented and completed within the required timeframes. Any required follow up and improvements have been made where possible. Communication with complainants is respectful.   Staff interviewed confirmed an understanding of the complaint process and what actions are required. A complaints register is maintained which includes the actions taken and status of complaints.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All residents have instructions on their files which guide staff on when and how their families are to be contacted if this is required.  File sampling confirmed that contact instructions were followed, open disclosure was practiced, and one to one, and written communication was respectful.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interviewed during the audit understood the principles of open disclosure. This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There were no residents who required interpreter services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Kapiti Retirement Trust is governed by a voluntary board of trustees and a CEO. A senior management team report to the CEO and manage the facility. Since the certification audit a new Group Manager Resident Wellness has been appointed. A team of clinical managers who are responsible for each area of the facility report to the group manager. They are clinical managers for dementia, hospital and respite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trust has a five-year strategic and business plan (2014 – 2019) which is reviewed annually. In 2017, work was done to review the mission and values for the Trust and these have been refined and are included in documents and on display throughout the facility.  The CEO reports to the board each month based on reports from the management team. Copies of these were sighted and confirmed progress against the Trust’s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CEO and the group manager hold masters of business administration degrees. The group manager is also an experienced registered nurse (RN) with a current practising certificate. She has held senior nursing, policy and management roles, and has been in this role since June 2017. Responsibilities and accountabilities are defined in a job description and individual employment agreement. She demonstrated her knowledge of the sector, regulatory and reporting requirements during the audit and maintains currency through attendance at meetings and relevant available training opportunities.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their contracts for the provision of age related residential care, the service holds contracts with CCDHB for the provision of up to seven respite beds for the Wellington region which are guaranteed at hospital level care, day respite services from 9 am to 3 pm, Monday to Friday; and continuing care which includes end of life care. They also hold a contract with the Ministry of Health for people who are under 65 and require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there were 55 residents receiving care at Kapiti Retirement Trust. Eleven of the twelve beds in the dementia unit were occupied; 36 of the 37 hospital beds were occupied, three of the four rest home (dual use) beds were occupied, and in the respite unit there were five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for the dementia unit has responsibility for quality and joined the group manager resident wellness during the interview for quality and risk management systems. The organisation has a planned quality and risk system that is reviewed annually. The current plan (dated 2018) is comprehensive. It includes a wide range of activities, monitoring and reporting to ensure that service delivery meets the requirements of these standards, the providers contracts and residents’ needs. The quality and risk activities included management of incidents, accidents, infections, use of restraints and enablers and complaints, internal audit activities, a regular resident and relative satisfaction survey, a staff satisfaction survey, health and safety, risks and hazards.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regular meetings are held monthly. These include quality, nursing, pressure injuries, falls, continence, senior healthcare assistance, health and safety and infection control. Other meetings are at different intervals, for example, restraint occurs six monthly, resident meetings are three times a year and a meeting for all staff occurs quarterly. Meeting minutes reviewed confirmed regular review and analysis of quality indicators and that related information is reported and discussed.  Staff confirmed their involvement in meetings, that quality and risk management activities are discussed, with trends and corrective actions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satisfaction surveys are completed annually. The most recent survey showed a 93% overall satisfaction rate with services and care at The Lodge.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manager described the processes for the identification, monitoring, review and reporting of risks and development of mitigation strategies. Both managers are familiar with the Health and Safety at Work Act (2015) and its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and near miss events are recorded on an accident/incident form. A random selection of events was sampled and showed that these were fully completed, incidents were investigated, action plans developed and actions followed-up in a timely manner.  Adverse event data is collated, analysed and reported at the quality committee, nursing and other relevant meetings, with significant events escalated to the CEO and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manager and the clinical manager - quality described essential notification reporting requirements.  Examples of notifications made to the Ministry of Health since the last audit were reviewed with the managers. These included changes to board of trustee members, the group manager’s appointment and appropriate adverse event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Kapiti Retirement Trust has human resources management policies and processes which are based on good employment practice and relevant legislation. The recruitment process included referee checks, police vetting and validation of qualifications and practising certificates (APCs), where required.   A sample of staff records reviewed confirmed the organisation’s policies were being consistently implemented and records were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programme includes all necessary components relevant to the service and specific roles. Staff reported that their orientation prepared them well for their position.  Personnel records reviewed had evidence of completed orientations, and regular appraisals on an annual cycle after the initial three-month introductory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by the clinical manager – respite. A calendar with annual and biennial training is scheduled with sessions identified for nurses, health care assistants, housekeeping, kitchen staff and all staff. Those care staff who have not already completed New Zealand Qualification Authority education programmes to meet the requirements of the provider’s agreement with the DHB, are supported to do so. There is a designated staff member who manages this and who is the internal assessor for the programme.  Staff working in the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clinical manager - hospital services completes the rosters for the aged care facility.  Staffing levels are adjusted to meet the changing needs of residents throughout.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access to managers or senior staff after hours (overnight and at weekends). Staff reported that they have good access to advice, which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Absences in the healthcare assistant team can be covered from the village wellness team who provide services to retirement village residents and this minimises the use of agency staff.  At least one staff member on duty in each area has a current first aid certificate and there is 24 hour/seven days a week (24//7) RN coverage in The Lodge.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re-designation of the four beds from hospital to dual purpose (rest home care) use has not required any adjustment to the staff rosters. The rooms are spread across The Lodge so that each rest home level resident is amongst hospital level residents and they are accommodated within the existing staffing allocation.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Sevenoaks Lodge is current and identifies all aspects of medicine management in line with the Medicines Care Guide for Residential Aged Care. The management of medication at Sevenoaks Lodge has recently been upgraded to include an electronic medicine management system. Residents receiving respite care, where possible are included on the electronic system. Where this is not possible, hard copy medication charts are used in addition to a comprehensive reconciliation process, recognised as an area of continuous improvement at last audit. An initiative is underway at Sevenoaks Lodge to address the logistics of enabling all residents receiving respite care to have their medications recorded electronically, however the project was not completed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the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Electronic acknowledgement of this occurring was sighted.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electronically recorded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Sevenoaks Lodge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clinical team manager of each area, and the group manager resident wellness.  Errors are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were consistent with standing order guidelines.</w:t>
            </w:r>
          </w:p>
          <w:p w:rsidR="00EB7645" w:rsidRPr="00BE00C7" w:rsidP="00BE00C7">
            <w:pPr>
              <w:pStyle w:val="OutcomeDescription"/>
              <w:spacing w:before="120" w:after="120"/>
              <w:rPr>
                <w:rFonts w:cs="Arial"/>
                <w:b w:val="0"/>
                <w:lang w:eastAsia="en-NZ"/>
              </w:rPr>
            </w:pPr>
            <w:r w:rsidRPr="00BE00C7">
              <w:rPr>
                <w:rFonts w:cs="Arial"/>
                <w:b w:val="0"/>
                <w:lang w:eastAsia="en-NZ"/>
              </w:rPr>
              <w:t>No changes are required to the medication management system at Sevenoaks Lodge, because of the reconfiguration of the four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Sevenoaks Lodge is provided on site by cooks and is in line with recognised nutritional guidelines for older people. The menu follows summer and winter patterns and has been reviewed by a qualified dietitian within the last two years. Recommendations made at that time have been implemented. Sevenoaks Lodge has a food control plan in place. A verification audit of the plan was undertaken in October 2017, with the next audit due to be undertaken in October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kitchen manager and the cooks have undertaken training in safe food handling. Kitchen assistants complete relevant food handling training on site,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always have access to additional nutritious snacks.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high level of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No changes are required to the food service because of the reconfiguration of the four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each resident’s needs, goals and the plan of care. The attention to meeting a diverse range of resident’s individualised needs was evident in all areas of service provision. Residents requiring a palliative approach had access to specialist input and advice. Accidents and incidents were managed promptly, as evidenced by a recent event requiring the resident’s transfer to an acute facility. Behaviour management plans are in place for residents in the secure unit. The plan identifies potential behaviours, possible triggers and management strategies to manage these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providing respectful care in line with assessment findings, residents’ need, and in accordance with best practice guidelines.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at Sevenoaks Lodge by three qualified diversional therapists, a recreation assistant and the assistance of 80 volunteers. The programme is provided Monday-Friday and every alternate Saturday. Activities are no longer provided on a Sunday, at the request of families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cultural, religious, spiritual and social requirements. A ‘’ Life Map” portrait is created for each resident, and visually portrays the resident’s values and beliefs, memorable holidays, employment/skills, childhood memories, parents, siblings and other aspects of the resident’s life. This enables staff to have some knowledge of the resident’s life prior to living at Sevenoaks Lodge. Activities assessments are regularly reviewed to help formulate an activities programme that is meaningful to the residents. The resident’s activity needs are evaluated regularly and as part of the formal three-monthly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a men’s group, crafts groups, walking groups, bowls, housie, energise, nifty nails, visiting entertainers, quiz sessions, one on one sessions and daily news updates. The activities programme is displayed in all common areas and in each resident’s room. A facility van and a bus enable residents to attend a range of outings and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A specific activities programme operates daily in the secure unit. The programme is provided by one of the diversional therapists. The activities assessment of each resident in the secure unit, identifies a twenty-four-hour approach that includes all aspects of the resident’s life and past routines.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discussed at the minuted residents’ and family meetings and indicated residents’ input is sought and responded to. Resident and family satisfaction surveys demonstrated satisfaction and that information is used to improve the range of activities offered. Residents interviewed confirmed they find the programme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No changes are required to the activities programme because of the reconfiguration of four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and passed over to oncoming staff at handover.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three months and six monthly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behaviour management and progress was evaluated as clinically indicated and according to the degree of risk noted during the assessment process. Other plans, such as wound management plans were evaluated each time the dressing was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had ongoing evaluation of the effectiveness of behavioural management strategies and monitoring of any medication changes regarding not only its effect on behaviour, but identifying any potential increased risks associated with certain medications. Evidence verified staff in the secure unit were alert to changes in residents’ status, that could be indicative of a potential problem when the resident was unable to verbalise.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11 November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physical environment and facilities are fit for their purpose and maintained.  The testing and tagging of electrical equipment and calibration of bio medical equipment is current as confirmed in documentation reviewed and observation of the environment.  Efforts are made to ensure the environment is hazard free, that residents are safe and independence is promoted. 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hospital bedrooms have been re-designated as dual-use so that residents can be supported at rest home level. These rooms were reviewed during this surveillance audit. Three of the rooms were occupied by residents who were receiving rest home level care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are appropriately sized for the provision of rest home level care and had the necessary furniture and can accommodate residents’ personal items. Residents were interviewed and stated that they were happy with their bedroom, its outlook and the provision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provided safe equipment which was maintained and promoted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Sevenoaks Lodge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clinical team manager of each area, and the group manager resident wellness review all reported infections. Monthly surveillance data is collated and analysed to identify any trends, possible causative factors and required actions. Results of the surveillance programme are shared with staff via quality and staff meetings, at staff handovers and on the notice board in the staff room. Surveillance data is submitted to an Australasian Group for benchmarking. Graphs are produced that identify trends for the current year, and comparisons against previous years. Data is benchmarked externally with other similar aged care providers and this is used to improve infection rates.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on restraint minimisation and safe practice. The use of enablers is included.  However, the policy and procedures which guide the use of enablers are limited in the instructions for the review of a resident’s ability to consent to their enabler and how to change the status of equipment from enabler to restraint when a resident’s ability to consent for themselves changes.</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provides support and oversight for enabler and restraint management in the facility and demonstrated an understanding of the organisation’s policies, procedures and practice and her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similar process is followed for the use of enablers as is used for restraints. On the day of audit, six residents were using enablers, which were reported to be used voluntarily at their request. However, consent forms were signed by the residents in only two of the six residents’ files. On the other four residents’ files the enabler consent was signed by the EPOA or a family member with no reason stated as to why this had occurred.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64"/>
        <w:gridCol w:w="1280"/>
        <w:gridCol w:w="4585"/>
        <w:gridCol w:w="4449"/>
        <w:gridCol w:w="20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Kapiti Retirement Trust bed rails and or lap belts in wheelchairs are used as approved enablers. The use of enablers was reported to be voluntary.  There is a policy to guide staff in the assessment of residents who request the use of equipment for their safety and wellbeing. This states that residents are to give consent themselves and to sign a document called ‘Information on restraint and enabler use for families / enduring power of attorney’.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were using enablers on the days of the audit. Of these six people, only two have signed their own Information (consent) on Restraint and Enabler use for Families / Enduring Power of Attorney which is on their file. These two residents were interviewed and confirmed that they have consented to the use of their enabler and that they are supported safely to use their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case of the four residents whose form had been signed by someone else (their EPOA or a family member), there is no annotation either on the form or in their notes, to state why the resident has not signed this form themselves. For two of these four people the staff member interviewed stated that these residents were no longer able to give consent themselves. The equipment was now no longer an enabler but was a restraint. The policy and procedure do not provide adequate guidance to staff about how to manage the process in these cases, and the distinction between an enabler and a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six residents were on the Restraint and Enabler Register with bed rails and / or lap belts, when using a wheelchair, as enablers. The document which is used to record consent is signed by someone other than the resident for four of the six people who were using enablers at the time of this audit. In two cases, staff reported the residents were no longer able to provide consent. In these cases, it was unclear whether these were being used as enablers or restraints. For the other two residents there has been no evidence of a review of their enabler since its initiation.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policy and procedure are not detailed enough to guide staff in situations where a resident is not competent to decide/consent or are physically unable to sign.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when enablers are used the resident signs the consent, or if they are unable to do so, the form is appropriately annotated. If the person is no longer able to give consent, then the use of the equipment is reviewed and more appropriately assessed as a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the policy and procedure to ensure that it provides sufficient guidance for staff members in relation to voluntary use of enablers and when these may become restraints.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Kapiti Retirement Trust - Sevenoaks Lodge</w:t>
    </w:r>
    <w:bookmarkEnd w:id="58"/>
    <w:r>
      <w:rPr>
        <w:rFonts w:cs="Arial"/>
        <w:sz w:val="16"/>
        <w:szCs w:val="20"/>
      </w:rPr>
      <w:tab/>
      <w:t xml:space="preserve">Date of Audit: </w:t>
    </w:r>
    <w:bookmarkStart w:id="59" w:name="AuditStartDate1"/>
    <w:r>
      <w:rPr>
        <w:rFonts w:cs="Arial"/>
        <w:sz w:val="16"/>
        <w:szCs w:val="20"/>
      </w:rPr>
      <w:t>22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