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Annie Brydon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Annie Brydon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October 2018</w:t>
      </w:r>
      <w:bookmarkEnd w:id="7"/>
      <w:r w:rsidRPr="009418D4">
        <w:rPr>
          <w:rFonts w:cs="Arial"/>
        </w:rPr>
        <w:tab/>
        <w:t xml:space="preserve">End date: </w:t>
      </w:r>
      <w:bookmarkStart w:id="8" w:name="AuditEndDate"/>
      <w:r w:rsidR="00A4268A">
        <w:rPr>
          <w:rFonts w:cs="Arial"/>
        </w:rPr>
        <w:t>12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Annie Brydon Lifecare provides rest home and hospital level care for up to 71 residents. The service is operated by Heritage Lifecare Limited and managed by a facility manager and a clinical services manager, with support from a quality co-ordinator.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management and staff and a general practitioner.</w:t>
      </w:r>
    </w:p>
    <w:p w:rsidRPr="00A4268A">
      <w:pPr>
        <w:spacing w:before="240" w:line="276" w:lineRule="auto"/>
        <w:rPr>
          <w:rFonts w:eastAsia="Calibri"/>
        </w:rPr>
      </w:pPr>
      <w:r w:rsidRPr="00A4268A">
        <w:rPr>
          <w:rFonts w:eastAsia="Calibri"/>
        </w:rPr>
        <w:t>This audit has resulted in continuous improvement ratings in relation to links with family, quality management, the availability of hypo-glycaemic kits for diabetics on insulin, a new activities room and dementia group therapy initiatives. There were no areas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facility manager is responsible for the management of complaints. A complaints register is maintained and demonstrated that complaints have been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 xml:space="preserve">Heritage Lifecare Limited is the governing body and is responsible for the service provided at this facility. A business and quality and risk management plans are documented and included the scope, direction, objectives and values of the organisation. Systems in place for monitoring the services provided, including regular weekly and monthly reporting by the facility manager and quality manager to the governing body. The facility is managed by an experienced and suitably qualified manager. </w:t>
      </w:r>
    </w:p>
    <w:p w:rsidRPr="00A4268A">
      <w:pPr>
        <w:spacing w:before="240" w:line="276" w:lineRule="auto"/>
        <w:rPr>
          <w:rFonts w:eastAsia="Calibri"/>
        </w:rPr>
      </w:pPr>
      <w:r w:rsidRPr="00A4268A">
        <w:rPr>
          <w:rFonts w:eastAsia="Calibri"/>
        </w:rPr>
        <w:t>A quality and risk management system is in place that includes annual planned audit activity, monitoring of complaints and incidents, health and safety, infection prevention and control, restraint minimisation and safe practice and resident and family satisfaction. Collection, collation and analysis of quality improvement data is occurring and is reported to the quality and staff meetings, with discussion of trends and follow up where necessary. Meeting minutes and graphs of clinical indicators are displayed. Adverse events are documented and seen as an opportunity for improvement. Corrective action plans are being developed, implemented, monitored and signed off. A suite of policies and procedures cover all necessary areas, were current and reviewed regularly.</w:t>
      </w:r>
    </w:p>
    <w:p w:rsidRPr="00A4268A">
      <w:pPr>
        <w:spacing w:before="240" w:line="276" w:lineRule="auto"/>
        <w:rPr>
          <w:rFonts w:eastAsia="Calibri"/>
        </w:rPr>
      </w:pPr>
      <w:r w:rsidRPr="00A4268A">
        <w:rPr>
          <w:rFonts w:eastAsia="Calibri"/>
        </w:rPr>
        <w:t>The human resources management policy based on current good practice guides the system for recruitment and appointment of staff. Orientation is provided. Staff training ensures staff are competent to undertake their role. A system is in place to identify, plan and facilitate ongoing education. The clinical services manager maintains all training records. Registered nurses are encouraged to undertake the interRAI training and competencies are maintained.</w:t>
      </w:r>
    </w:p>
    <w:p w:rsidRPr="00A4268A">
      <w:pPr>
        <w:spacing w:before="240" w:line="276" w:lineRule="auto"/>
        <w:rPr>
          <w:rFonts w:eastAsia="Calibri"/>
        </w:rPr>
      </w:pPr>
      <w:r w:rsidRPr="00A4268A">
        <w:rPr>
          <w:rFonts w:eastAsia="Calibri"/>
        </w:rPr>
        <w:t>Staffing levels and skill mix meet contractual requirements and the changing needs of residents. The clinical services manager is on call out of hours.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Residents’ needs are assessed by the multidisciplinary team on admission within the required timeframes. Shift handovers, communication sheets and stability of senior clinical staff guides continuity of care. 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a recreation officer and provides residents with a variety of individual and group activities and maintains their links with the community.  A facility van and a wheelchair accessible car is available for outings, with additional access to the village van available if required.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been purpose built. There are mostly single rooms with three double rooms designated for couples. All rooms are of an adequate size to provide personal care. The lease to occupy suites have their own bathrooms, bedroom and separate lounge/dining area.</w:t>
      </w:r>
    </w:p>
    <w:p w:rsidRPr="00A4268A">
      <w:pPr>
        <w:spacing w:before="240" w:line="276" w:lineRule="auto"/>
        <w:rPr>
          <w:rFonts w:eastAsia="Calibri"/>
        </w:rPr>
      </w:pPr>
      <w:r w:rsidRPr="00A4268A">
        <w:rPr>
          <w:rFonts w:eastAsia="Calibri"/>
        </w:rPr>
        <w:t>All building and plant complies with legislation and a current building warrant of fitness was displayed. A preventative and reactive maintenance programme is implemented.</w:t>
      </w:r>
    </w:p>
    <w:p w:rsidRPr="00A4268A">
      <w:pPr>
        <w:spacing w:before="240" w:line="276" w:lineRule="auto"/>
        <w:rPr>
          <w:rFonts w:eastAsia="Calibri"/>
        </w:rPr>
      </w:pPr>
      <w:r w:rsidRPr="00A4268A">
        <w:rPr>
          <w:rFonts w:eastAsia="Calibri"/>
        </w:rPr>
        <w:t>Communal areas are spacious and maintained at a comfortable temperature. Shaded external areas and seating is available.</w:t>
      </w:r>
    </w:p>
    <w:p w:rsidRPr="00A4268A">
      <w:pPr>
        <w:spacing w:before="240" w:line="276" w:lineRule="auto"/>
        <w:rPr>
          <w:rFonts w:eastAsia="Calibri"/>
        </w:rPr>
      </w:pPr>
      <w:r w:rsidRPr="00A4268A">
        <w:rPr>
          <w:rFonts w:eastAsia="Calibri"/>
        </w:rPr>
        <w:t xml:space="preserve">Implemented policies guide the management of waste and hazardous substances. Personal protective equipment and clothing is provided and used by staff. Chemicals, soiled linen and equipment are safely stored. All cleaning and laundry is undertaken on site with systems being monitored to evaluate effectiveness. </w:t>
      </w:r>
    </w:p>
    <w:p w:rsidRPr="00A4268A">
      <w:pPr>
        <w:spacing w:before="240" w:line="276" w:lineRule="auto"/>
        <w:rPr>
          <w:rFonts w:eastAsia="Calibri"/>
        </w:rPr>
      </w:pPr>
      <w:r w:rsidRPr="00A4268A">
        <w:rPr>
          <w:rFonts w:eastAsia="Calibri"/>
        </w:rPr>
        <w:t>Emergency procedures are documented and displayed. Regular fire drills are completed and there is a sprinkler system and call points installed in case of fire. Access to emergency power source is available when required. Residents reported a timely staff response to call bells.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was in use at the time of audit. No restraints were in use.  Restraint would only be used as a last resort when all other options have been explored. A restraint register is maintained. Staff receive relevant ongoing training.  Staff demonstrated a sound knowledge of understanding of the restraint and enabler process.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officer, aims to prevent and manage infections. Specialist infection prevention and control advice is accessed from the Taranaki District Health Board.</w:t>
      </w:r>
    </w:p>
    <w:p w:rsidRPr="00A4268A">
      <w:pPr>
        <w:spacing w:before="240" w:line="276" w:lineRule="auto"/>
        <w:rPr>
          <w:rFonts w:eastAsia="Calibri"/>
        </w:rPr>
      </w:pPr>
      <w:r w:rsidRPr="00A4268A">
        <w:rPr>
          <w:rFonts w:eastAsia="Calibri"/>
        </w:rPr>
        <w:t>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5</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3"/>
        <w:gridCol w:w="1280"/>
        <w:gridCol w:w="100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Annie Brydon Lifecare (Annie Brydon)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provided by the Health and Disability Advocacy Service,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 The Advocacy Service attends residents’ meetings yearly. 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A facility van is available for outings and has recently had a hoist installed to enable wheelchair bound residents to participate in group outings. The ability for residents to maintain links with family and the community has been enhanced at Annie Brydon, by the continued commitment to the ongoing provision of a small vehicle that families can use to take residents out.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and concerns policy which meets the requirements of Right 10 of the Code. There is a flowchart associated with the policy to assist staff in understanding the process for complaints management. The information is provided to residents and their families on admission and there is information and forms available in the information pack and forms were sighted in all service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10 complaints have been received over the past year and that actions were taken through to an agreed resolution. One recent minor complaint received has been investigated but has not been closed out at time of this audit. Appropriate timeframes specified in the Code were effectively met. Action plans reviewed showed any required follow-up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reported that there have been no investigations by the Health and Disability Commissioner, the Ministry of Health, the District Health Board (DHB), Accident Compensation Corporation (ACC), Coroner or Police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discussion with staff. The advocacy service attends the residents’ meeting each year to ensure residents are kept informed.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of Annie Brydon confirmed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five residents and at least nine staff at Annie Brydon at the time of audit who identify as Māori. Interviews with residents and staff verify staff can support residents who identify as Māori to integrate their cultural values and beliefs. Every file reviewed of residents who identified as Maori had a Te Whare Tapa Wha assessment in their care plan. The principles of the Treaty of Waitangi are incorporated into day to day practice, as is the importance of whānau to Māori residents. There is a current Māori health plan, developed with input from cultural advisers, that includes a holistic Māori model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Annie Brydon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(October),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Annie Brydon encourages and promotes good practice through evidence-based policies and input from external specialist services and allied health professionals. For example, hospice/palliative care team, diabetes nurse specialist, physiotherapist, wound care specialist, community dieticians, services for older people, psycho-geriatrician and mental health services for older persons,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education. Education is provided internally, through in-service education by the clinical services manager (CSM), specialist speakers or access to on line learning ‘hubs’. RNs can access training through the Taranaki District Health Board (TDHB), however generally use on line learning hubs or access to specialist advisors.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at Annie Brydon included continuity of clinical expertise, with low staff turnover in key clinical roles. There is a commitment to ensuring all staff maintain their competencies regarding meeting clinical expectations. The CSM and assistant CSM assess all staff competencies. All care staff are medication competent. </w:t>
              <w:br/>
              <w:t xml:space="preserve">There are a number of ongoing initiatives aimed at reducing the number of falls, reducing the number of restraints in use and improving the management and healing time of a stage three pressure injury (incurred prior to admission that according to experts could not be healed) demonstrating a commitment to good practice at Annie Brydon.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from Annie Brydon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TDHB when required. Staff knew how to do so and brochures on the service were easily accessible.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plan 2018-2019, which is reviewed annually for the organisation, outlines the purpose, values, scope, direction and objectives of the organisation. The facility manager, clinical services manager and the quality manager at Annie Brydon Lifecare also develop site specific objectives which link with the quality plan objectives. The documents reviewed described annual and longer term objectives and the associated action plan. The facility manager provides weekly reports on occupancy, health and safety, complaints and compliance issues (incidents/accidents), new risks identified and/or any outstanding issues, for example. The quality manager interviewed provides monthly reports to Heritage Lifecare Limited (HLL) directly to the national quality manager (NQM) including all clinical indicators and information provided from the clinical services manager. The information provided includes falls with and without injury, pressure injuries, infection rates and the narrative reports and data reports. The quality manager collates the information and provides all information in graph form prior to forwarding onto the national quality manager. Prior to reporting to the NQM the quality manager reports the results to the facility manager, clinical services manager and the staff directly. If any trends are identified at this stage a corrective action form is completed and actioned as soon as possible.</w:t>
            </w:r>
          </w:p>
          <w:p w:rsidR="00EB7645" w:rsidRPr="00BE00C7" w:rsidP="00BE00C7">
            <w:pPr>
              <w:pStyle w:val="OutcomeDescription"/>
              <w:spacing w:before="120" w:after="120"/>
              <w:rPr>
                <w:rFonts w:cs="Arial"/>
                <w:b w:val="0"/>
                <w:lang w:eastAsia="en-NZ"/>
              </w:rPr>
            </w:pPr>
            <w:r w:rsidRPr="00BE00C7">
              <w:rPr>
                <w:rFonts w:cs="Arial"/>
                <w:b w:val="0"/>
                <w:lang w:eastAsia="en-NZ"/>
              </w:rPr>
              <w:t>The service philosophy is in an understandable form and is available to residents and family/representatives or other services involved in referring residents to the service. It is also documented in the information pack provided and reviewed.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qualifications. The facility manager is very experienced both in New Zealand and has overseas health experience in health management. Previously the facility manager was a needs assessment service coordinator and has been in this role for 10 months. The facility manager has attended relevant business management and aged related conferences and study days. The facility manager is supported by the quality manager and a clinical services manager.</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district health board (DHB) for hospital care medical and geriatric, rest home residential care and respite care services. Seventy one (71) beds are available with three rooms designated for couples. On the day of audit there are 67 residents; 54 rest home, 11 hospital level care, one under 65 years (MoH YPD) (hospital) and one respite care (hospital). There are fifty four dual purpose beds and 14 dedicated rest home level care beds. Twenty four ORA rooms are included in the fifty four dual purpose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clinical services manager carries out all the required duties under delegated authority. Support is also provided from HLL at all times. During absences of key clinical staff, the clinical management is overseen by a registered nurse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that reflects the principles of continuous improvement and is understood by the staff. This includes management of incidents/accidents, complaints and audit activities, an annual satisfaction survey, monitoring of outcomes, clinical incidents including infections and restraint minimisation and safe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Terms of reference and meeting minutes sighted confirmed adequate reporting systems and discussion occurs on quality matters. Regular review and analysis of quality indicators occurs, and related information is reported and discussed at the weekly team meetings, and quality and staff meetings held monthly. Minutes reviewed included discussion on pressure injuries, restraints, falls, complaints, incident/adverse events, infections, audit results and the activities programme. Staff interviewed reported their involvement in quality and risk activities through audit activities, for example, for the laundry and the kitchen. Any relevant corrective actions are developed and implemented as necessary to demonstrate continuous improvement is occurring. Resident and family surveys are completed annually and are sent out from the HLL office. The last survey was completed in June 2018. The facility manager commented that there had been a smooth transition after the change of ownership, across all areas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covered all necessary aspects of the service and contractual requirements and were current. The document control system is managed at HLL head office by the NQM and quality team. All documents are updated as required and sent out via a memorandum with instructions for replacement in the manuals. The facility manager sends back a declaration that the documents have been updated on site. This process ensures a systematic and regular review process, referencing of relevant resources, approval, distribution and removal of obsolete documents. Staff are updated on any new policies or changes to policies through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 for the identification, monitoring of risks and development of mitigation strategies. The risk register is updated at head office. The service risk register showed consistent review and updating of any risks identified, risk plans and the addition of any new risks. The facility manager, clinical services manager and the quality manager are aware of and have attended training in the Health and Safety at Work Act (2015) requirements and have implemented requirements.  The clinical services manager is the health and safety coordinator/representative for this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December 2017, Heritage Lifecare Limited (HLL) developed and authorised a position of quality manager at Annie Brydon Lifecare as part of the transition process when purchasing this facility. The quality manager interviewed ensures any adverse event reported is dealt with immediately.  Addressing incidents before they manifest into more significant events has proven to very valuable for the service. The aim of adverse event reporting is to close the ‘quality loop’ quickly and effectively.  The incident management process is closely linked to the quality and risk management system. Evaluation of what corrective action has been developed and implemented and/or any trends identified are detected and actioned quickly. An incident register is maintained. </w:t>
            </w:r>
          </w:p>
          <w:p w:rsidR="00EB7645" w:rsidRPr="00BE00C7" w:rsidP="00BE00C7">
            <w:pPr>
              <w:pStyle w:val="OutcomeDescription"/>
              <w:spacing w:before="120" w:after="120"/>
              <w:rPr>
                <w:rFonts w:cs="Arial"/>
                <w:b w:val="0"/>
                <w:lang w:eastAsia="en-NZ"/>
              </w:rPr>
            </w:pPr>
            <w:r w:rsidRPr="00BE00C7">
              <w:rPr>
                <w:rFonts w:cs="Arial"/>
                <w:b w:val="0"/>
                <w:lang w:eastAsia="en-NZ"/>
              </w:rPr>
              <w:t>A sample of incident forms reviewed show these were fully completed, incidents were investigated, actioned and follow-up was completed in a timely manner. Adverse event data is collated, analysed and reported by the quality manager to the facility manager monthly and meeting minutes reviewed showed discussion in relation to any trends, action plans and improvements made.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manager interviewed described essential notification reporting requirements. The service has had no notifications of significant events made to the Ministry of Health (MoH)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line with good employment practice and relevant legislation and guide human resources management processes. Position descriptions reviewed were current and defined key tasks and accountabilities for the various roles.  The facility manager is responsible for the recruitment process which includes reference checks, police vetting and validation of qualifications and practising certificates (APCs) where required. A sample of staff records reviewed confirmed the organisation’s policies are being consistently implemented and records are systematically maintained. Employment checklists are used in the front of each individual staff record sighted. The records were maintained to a high standard.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and included support from a ‘buddy’ through their initial orientation period. Staff records reviewed showed documentation of completed orientation and a performance review annually.</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The in-service education schedule was sighted. Mandatory training requirements are defined and scheduled to occur over the course of the year. An education register has been developed and implemented for 2018 and a record is maintained by the clinical services manager. Competencies are maintained and were recorded on the competency register reviewed. Care staff have completed the required education to meet the requirements of the provider’s agreement with the DHB. Education records reviewed demonstrated completion of the required training. Seven of eleven registered nurses have completed and are competent to perform interRAI assessments and two further staff are enrolled in the training. One enrolled staff member is an experienced enrolled nurse. Time is allocated to the staff for completing the required assessments.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 annual performance appraisal process provides an opportunity to discuss individual training needs and to review competencies. Appraisals were in progress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organisation (HLL) uses ‘allocation of staff/duty rosters’, an electronic tool based on indicators for safe staffing, and this is used by the facility manager and the clinical services manager when preparing the rosters. There is a documented rationale for safe staffing. The design of the facility and staff coverage for the twenty four (24) ORA individual suites which are built into the facility are taken into consideration when allocating the staff. All residents in the ORA suites are occupied by ARRC residents.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able to adjust staffing levels to meet the changing needs of residents. An after-hours on call roster is in place with staff reporting that good access to advice is available when needed. The clinical services manager is on call and the newly appointed second in charge (2IC) will be sharing this role. Care staff reported there were adequate staff available to complete the work allocated to them. Residents and families interviewed supported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rosters reviewed confirmed adequate staff cover has been provided with staff replaced in unplanned absences. There are two registered nurses on duty on the morning and afternoon shifts and two cover the night shift three nights per week and the other four nights an enrolled nurse is on duty with one registered nurse. The clinical services manager and the second in charge registered nurse work Monday to Friday during the daytime. Staff interviewed commented that any emergency situations are managed effectively. All staff have completed first aid courses and certificates were in the staff records reviewed. There are eleven registered nurses including the clinical services manager. All have competencies for medication management, verification of death, wound care management, female and male catheterisation and other medical and palliative care management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an electronic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meet with the CSM. They are also provided with comprehensive written information about the company,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details,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TDHB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residents who were self-administer medications (inhalers) at the time of audit. Appropriate processes were in place to ensure this is managed in a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(nurse-initiated medications) are used, however these relate to each individual resident, and are documented on the individual’s electronic medication chart.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chef and is in line with recognised nutritional guidelines for older people. The menu follows summer and winter patterns and was reviewed by a qualified dietitian in May 2017.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due to expire 23 February 2019. A verification audit of the food control plan was undertaken on the 6 June 2018.</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chef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Annie Brydon are assessed using a range of nursing assessment tools, such as pain scale, falls risk, skin integrity, nutrition, oral, risk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 A physiotherapist is employed by Annie Brydon, to provide physiotherapy services to residents twice a week. Residents are assessed by the physiotherapist on admission, with an ongoing plan put in place as indicated by assessment findings.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documentation and observation verifies the RNs are familiar with requirement for reassessment of a resident using the interRAI assessment tool when a resident has increasing or changing need levels.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had current interRAI assessments completed by one of seven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was consistent with their needs, goals and the plan of care.  An initiative to manage a potential risk to insulin dependent diabetics, has been recognised as an area of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who is also a trained physiotherapy assistant, and a recreation officer. Activities are provided five days a week, with additional events organised to occur over the weekend. Each day group and one on one sessions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daily exercise sessions run by the physiotherapy assistant, visits from local schools and kapa haka groups, visiting entertainers, quiz sessions, daily news updates and regular van outings. The activities programme is discussed at the minuted residents’ monthly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A resident under 65 years, can access activities which meet the diverse needs of someone younger. Activity personnel spend additional time enabling the resident assistance with one to one activities, ‘skype’ calls to friends overseas, internet access, access to community events and time at home.</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commitment to two initiatives involving enhancing residents’ experiences around activities, and increased participation is recognised as an area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were sighted of short-term care plans being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CSM sends a referral to seek specialist input. Copies of referrals were sighted in residents’ files, including to the older persons’ mental health services. Referrals are followed up on a regular basis by the CSM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were in place. Infection control documentation includes a waste management section detailing procedures for waste (blood and bodily fluids) management and disposal.  A contracted company removes all re-cycling and cardboard waste and normal waste is collected by the council weekly and as needed. There is a designated area for storing chemicals used for cleaning and the laundry which is securely locked. All containers in use are clearly labelled. An external company is contracted to supply and manage chemicals and cleaning products and they also provide relevant training for staff. Material data sheets were available where chemicals are stored and used and staff interviewed knew what to do should any chemical spill/event occur. Any related incidents are reported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provision and availability of protective clothing and equipment and staff were observed using this including gloves, aprons and hats.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building warrant of fitness is current and was displayed at the entrance to the facility with an expiry date of 16 October 2018. The facility manager explained that the required checks have been completed and the service is awaiting the new certificate through to 2019.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the facilities are fit for purpose. There is a proactive and reactive maintenance programme and buildings, plant and equipment are maintained to an adequate and safe standard. The testing and tagging of equipment and calibration of medical equipment was current and confirmed in documentation reviewed, interviews with the maintenance person and observation of the environment. An equipment validation report was reviewed. All hoists are included in the checks and two oxygenators are ready for use. There are no oxygen cylinders on site but these can be ordered if and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grounds are safely maintained and are appropriate to the resident groups and the setting. The environment is conducive to the range of activities undertaken. The environment was hazard free and residents were safe. Staff interviewed confirmed they knew the processes they should follow if any repairs or maintenance was required and that any requests are appropriately actioned. Residents reported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toilet, showers and bathing facilities. This includes rooms with ensuites, shared bathrooms between rooms and communal bathrooms. All individual resident’s rooms have a hand basin. Appropriately secured and approved handrails are provided in the toilet/shower areas and other equipment/accessories are available to promote residents’ independence.  The twenty-four (24) lease to occupy suites have their own bathroom.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space provided to allow residents and staff to move around within the bedrooms safely. All bedrooms provide single accommodation, with the exception of three designated rooms for couples. Shared approval has been sought. All rooms are personalised with furnishings, photographs and other personal items being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walking frames and wheelchairs. Staff and residents interviewed reported the adequacy of bedrooms. One motorised scooter and hoists sighted were stored in a designated area and did not impede walkways or create a hazard for mobile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communal lounge available for residents to engage in activities. The dining and lounge areas are spacious and enable easy access for residents and staff. Residents are able to access areas for privacy, if required. Furniture is appropriate to the setting and residents’ needs are met. The furniture is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undertaken on site in two dedicated laundries. Facilities are readily available in both laundries sighted. Resident’s personal laundry items are laundered on site or by family members if requested. Residents and family members interviewed reported the laundry is managed well and their clothes are returned in a timely manner. The laundry is currently washed by dedicated laundry staff during the daytime hours. The laundry person interviewed was very experienced. There is one designated staff member for the laundry and a relief laundry person available. After hours the care staff are responsible for the laundry. The staff member interviewed demonstrated a sound knowledge of the laundry processes, dirty to clean workflow and handling of soiled linen.</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designated cleaners who are fully trained, including training on infection control, products and protocols. The cleaners cover the total facility inclusive of the ORA suites. Material data sheets are available for all products in use. A chemical spills kit is available if and when needed. The cleaning trolley is stored appropriately when not in use in one of the two locked sluice rooms. Chemicals are refillable, and all containers used were adequately labelled. Cleaning and laundry processes are monitored through the internal audit programme and by the company representatives.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duties direct the facility in their preparation for disasters and describe the procedures to be followed in the event of fire or other emergencies. The current fire evacuation plan was approved by the New Zealand Fire Service, the most recent being the 17 July 2013. A trial evacuation takes place six monthly with a copy sent to the New Zealand Fire Service, the most recent being the 30 August 2018. The staff for the two sides or areas of the facility complete the drill. The local fire service attends the fire drills and provides feedback to the staff. The staff orientation programme includes fire and security training. Staff interviewed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and blankets, mobile phones, torches, lanterns and gas barbecues were sighted and meet the requirements for seventy one (71) residents (including the 24 ARRC residents in the ORA suites within the facility). The emergency lighting which is regularly checked lasts approximately three to four hours. The service does not have a generator but is prioritised in the region for energy power supply as soon as available. Emergency protocols are linked with the DHB and Hawera Hospital if required and contact details of other aged care providers are accessible in the event of an emergency in this region.</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interviewed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Security arrangements are in place and staff ensure all doors and windows are locked at a predetermined time in the evening and are again checked by the night staff routinely.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individual rooms and communal areas have opening external windows with natural light. Gas heating is provided throughout the facility. Additional heat pumps are available in the communal areas. Areas are warm and well ventilated throughout the audit and residents and families confirmed the facility is maintained at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Annie Brydon provides a managed environment that minimises the risk of infection to residents, staff and visitors through the implementation of an appropriate infection prevention and control (IPC) programme. Infection control management is guided by a comprehensive and current infection control manual, developed at organisational level with input from the CSM.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(CSM) is also the designated infection control officer, whose role and responsibilities are defined in a job description. Infection control matters, including surveillance results, are reported monthly and tabled at the quality/risk meeting. Infection control statistics are entered in the organisation’s electronic database and benchmarked within the organisation’s other facilities. The organisation’s national quality manager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(ICO) has appropriate skills, knowledge and qualifications for the role. The ICO has undertaken post graduate training in infection prevention and control and attended relevant study days, as verified in training records sighted. Well-established local networks with the infection control team at the DHB are available and expert advice from an external advisory company is also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ICO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infection control nurse from the TDHB and the ICO.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urinary tract infections, and it was found to be related to a decrease in fluids being offered over winter.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ICO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A flow chart is also available to guide staff. The restraint coordinator provides support and oversight for enabler and restraint management in the facility when required and demonstrated a sound understanding of the organisation’s policies, procedures and practice and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no residents were using restraints. One resident was using an enabler which was the least restrictive and used in a voluntary capacity at the request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would only be used as a last resort when all alternatives have been explored. This was clear on review of the restraint approval group minutes and records reviewed and staff interviewed.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6310"/>
        <w:gridCol w:w="44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in 2014 showed that some residents and their family’s desires to go out, was limited by the resident being in a wheelchair. Mobility taxis are not available in Hawera and the Annie Brydon’s van was cumbersome and often not available due to facility requirements and arranged outings. A special purpose vehicle was purchased, especially designed to allow access to one resident in a wheelchair. It is easily operated, the back lowers to the ground and a ramp enables wheelchair access. The car can be booked by family members to enable them to independently attend functions and appointments.  In 2017, there were seventeen residents at Annie Brydon who utilised this vehicle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this initiative at audit identified the ongoing commitment to supporting resident’s independence remains in place. The booking system and interviews evidences the ease of operation, the high usage of this vehicle and the advantages of the initiative. In addition to regular outings, residents have been enabled to attend appointments, out of town activities, anniversary’s, funerals, unveilings and numerous other events with their family and independently. Family members are complimentary of the service identifying the vehicle as being small and compact, easy to park and easy to drive.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small vehicle capable of accommodating a wheelchair plus two other individuals remains in operation at Annie Brydon. The availability of this vehicle enables residents and their families to access services within the community and to go out independently.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purpose, values, cope, direction and objectives of the organisation are clearly identified and regularly reviewed. The business plan and quality and risk plans are closely linked together to ensure objectives set can be effectively met by the service and the organisation as a whole. The governance and the facility management staff work closely together. The facility manager reports weekly to the organisation’s national quality manager on all compliance issues, objectives set by the organisation and any adverse events, new risks identified or any outstanding issues. The quality manager reports monthly and covers all clinical indicators (provided by the clinical services manager) and relevant quality management data required. Any trends or outcomes are clearly identified and action plans are documented and action is commenced immediately on all outcomes to be addressed. All information is reported to the staff at the staff meetings and quality meetings held monthly. Objectives set by the service are closed out on the business plan once objectives have been met.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can in addition clearly demonstrate a review and analysis process of quality data, clinical and non-clinical, prior to reporting to the organisation’s national quality manager. Comprehensive data was sighted. Graphs are developed from the information collated and evaluated. No time is wasted in putting into action, plans for any findings from the data collated and analysed. The quality manager performs this role monthly and reports back to staff all outcomes in the first instance, and develops corrective actions to be effectively met. This is completed and action is commenced on any outcomes before reporting onto the national quality manager which is unique for this service and organisation protocol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layout of Annie Brydon, and previous dealings with residents who had had episodes of hypoglycaemia identified a potential risk to insulin dependent diabetics, if they were to have a hypoglycaemic attack. The time taken for clinical staff to identify the cause of the event and access the basic equipment needed to manage the situation promptly, had been longer than advisable. An initiative was implemented, and hypoglycaemic kits were installed in all rooms of insulin dependent diabetics. All staff are trained in recognising the symptoms of hypoglycaemia.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initiative provides a benefit to the resident, by enabling the staff member to stay with the resident, rather than the resident having to be left while the staff member goes to get a kit from the treatment room. Each resident has their own personal blood glucose monitor in their kits, which they use daily. The kit also contains jelly beans, lancets, swabs and glucagon injections. The event is responded to promptly to enhance resident’s safety. At present there are six residents who have kits in their rooms.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Hypoglycaemic kits are available in the rooms of residents who require insulin. This enables a prompt response from clinical staff should a hypoglycaemic event occur, therefore enhancing resident safety and reducing the potential impact of such an event.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 to dedicating a specific area to activities, activities were held in the two separate lounges of the facility. Two programmes operated, and each area generally did not mix. Visitors came and went, at times interrupting what activities were going on. Resident participation was low, an average of 248 overall attendances per month.</w:t>
            </w:r>
          </w:p>
          <w:p w:rsidR="00EB7645" w:rsidRPr="00BE00C7" w:rsidP="00BE00C7">
            <w:pPr>
              <w:pStyle w:val="OutcomeDescription"/>
              <w:spacing w:before="120" w:after="120"/>
              <w:rPr>
                <w:rFonts w:cs="Arial"/>
                <w:b w:val="0"/>
                <w:lang w:eastAsia="en-NZ"/>
              </w:rPr>
            </w:pPr>
            <w:r w:rsidRPr="00BE00C7">
              <w:rPr>
                <w:rFonts w:cs="Arial"/>
                <w:b w:val="0"/>
                <w:lang w:eastAsia="en-NZ"/>
              </w:rPr>
              <w:t>Following a review, a new dedicated area was developed in the middle of the facility which is away from all the interruptions and heavy traffic flow areas. One programme is offered in this area and all residents are encouraged to attend. Resident numbers have increased to 948 overall visits in September 2018. Residents can display their work in this area and expressed pride when showing off their work. There is plenty of room for passive recreation, for those who would prefer to observe rather than participate. The room opens out into the garden, for the summer months. Families use the room for residents’ celebrations, as observed on the day of audit when an extended family was lunching together. Residents mingle with everyone and lots of new friendships have been formed. Changing where the programme was presented has increased residents’ desire to participate in the activities programme at Annie Brydon.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implementation of a dementia therapy group in the afternoon was implemented because of other residents complaining when residents with dementia became restless during afternoon activity sessions, or some residents fell asleep and then became restless overnight. The group was initiated by a caregiver who had been involved in a programme in another facility before. The staff member was relieved of caregiver duties and dedicated 1-2 hours per day spending time with residents with dementia. The group started with two in April and was up to seven in July 2018. Activities include reading, listening to music, foot massage, walks, flowers, pictures, for example. Evaluations note that residents are more settled in the smaller sessions, are not so restless or sleepy, and sleep better at night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dedication of a specific area to activities has enabled both areas of the facility to come together, and increased resident participation in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implementation of an activity programme specific to those residents with dementia, has improved their response to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reviewed over the last year evidenced that since July 2017 until the present time no restraints have been implemented. A project commenced three years ago has seen the rate of resident restraint use slowly diminish from 8% in July 2017 to 0% at time of this audit. Increased family and staff education has been beneficial and increased awareness of how to manage any behavioural incidents. The falls rate has also decreased significantly along with residents not requiring a restraint. The quality manager ensures all incidents are followed up immediately and reported to the facility manager and clinical services manager. Any hazards are reported and eliminated. Records reviewed clearly evidence that discussions occur on how best to manage the individual resident to promote ongoing independence and safety. Staff interviewed are more aware of problem solving and looking for alternatives to restraint, rather than immediately resorting to the implementation of a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rating is made as the organisation achieves beyond the expected full attainment. The restraint minimisation and safe practice programme is coordinated in a manner that promotes residents’ safety and independence and promotes a team approach when managing individual residents to achieve their goals and objectives. A project introduced and the resulting action plan developed to reduce the number of residents on restraints has been managed effectively to achieve the current result of no residents using a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Annie Brydon Lifecare</w:t>
    </w:r>
    <w:bookmarkEnd w:id="58"/>
    <w:r>
      <w:rPr>
        <w:rFonts w:cs="Arial"/>
        <w:sz w:val="16"/>
        <w:szCs w:val="20"/>
      </w:rPr>
      <w:tab/>
      <w:t xml:space="preserve">Date of Audit: </w:t>
    </w:r>
    <w:bookmarkStart w:id="59" w:name="AuditStartDate1"/>
    <w:r>
      <w:rPr>
        <w:rFonts w:cs="Arial"/>
        <w:sz w:val="16"/>
        <w:szCs w:val="20"/>
      </w:rPr>
      <w:t>11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