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Aroha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Aroha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September 2018</w:t>
      </w:r>
      <w:bookmarkEnd w:id="7"/>
      <w:r w:rsidRPr="009418D4">
        <w:rPr>
          <w:rFonts w:cs="Arial"/>
        </w:rPr>
        <w:tab/>
        <w:t xml:space="preserve">End date: </w:t>
      </w:r>
      <w:bookmarkStart w:id="8" w:name="AuditEndDate"/>
      <w:r w:rsidR="00A4268A">
        <w:rPr>
          <w:rFonts w:cs="Arial"/>
        </w:rPr>
        <w:t>13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Aroha provides rest home, dementia and hospital level care for up to 46 residents. The service is operated by the Ultimate Care Group and managed by a facility manager with support from a clinical services manager. The recent establishment of a regional clinical services manager position will also provide additional clinical support to the service.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palliative care nurse and a general practitioner.</w:t>
      </w:r>
    </w:p>
    <w:p w:rsidRPr="00A4268A">
      <w:pPr>
        <w:spacing w:before="240" w:line="276" w:lineRule="auto"/>
        <w:rPr>
          <w:rFonts w:eastAsia="Calibri"/>
        </w:rPr>
      </w:pPr>
      <w:r w:rsidRPr="00A4268A">
        <w:rPr>
          <w:rFonts w:eastAsia="Calibri"/>
        </w:rPr>
        <w:t xml:space="preserve">This audit has resulted in areas requiring improvement relating to corrective action planning and documentation of interventions.  Improvements have been made to complaints, staff education, activities, nutrition and the environment, addressing all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facility quality and risk management plan includes the goals and objectives, values and mission statement of the organisation and the current business plan. Monitoring of the services provided to the national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 diversional therapist with the assistance of a recreation assistant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and the service is provided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enabler is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4"/>
        <w:gridCol w:w="1280"/>
        <w:gridCol w:w="103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complaints have been received over the past year and that actions taken, through to an agreed resolution, are documented and are all now completed within the required timeframes.  Action plans showed any required follow up and improvements have been made where possible.  The facility manager and the clinical services manager both take responsibility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necessary, although reported this was rarely required due to all current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which includes the strategic direction and relevant business planning, is developed by the facility and reviewed annually by both the facility and the national organisation. This outlines the purpose, values, scope, direction and goals. The documents describe annual and longer term objectives and the associated operational plans. A sample of monthly reports to the national office showed adequate information to monitor performance is reported including financial performance, emerging risks and issues and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one year. Responsibilities and accountabilities are defined in a job description and individual employment agreement. The facility manager confirms knowledge of the sector, regulatory and reporting requirements and maintains currency with a current nursing practising certificate and regular attendance at sector events, seminars and meetings, both locally and nationally.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hospital (geriatric and medical), rest home, respite and dementia levels of care. Forty-four residents were receiving services under the contract (18 hospital, 11 rest home and 14 dementia)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residents satisfaction survey, monitoring of outcomes, clinical incidents including infections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clinical, quality and risk team meetings and staff meetings. Staff reported their involvement in quality and risk management activities through audit activities and the regular meetings. Relevant corrective actions are developed and implemented to address any shortfalls in most areas, with the exception of the internal audits. Resident and family satisfaction surveys are completed annually, and two to three monthly residents’ meetings are held and run by an independent advocate. The most recent residents’ meeting minutes showed a request for a change in the timing of the ‘happy hour’, a concern with laundry efficiency and a request for more savoury items with their afternoon teas. All these concerns had been addressed immediately.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national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facility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the quality and risk committee as well as the national office. Collated and graphed reports are produced via the national electronic quality system for appropriate trend analysis and action by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described essential notification reporting requirements, including for pressure injuries. They advised there have been no notifications of significant events made to the Ministry of Health or other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All staff are now completing the required core training. Care staff have either completed or commenced a New Zealand Qualification Authority education programme to meet the requirements of the provider’s agreement with the DHB. Several staff members are internal assessors for the programme. Staff working in the dementia care area have either completed or are enrolled in the required education. There are sufficient trained and competent registered nurses (seven)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using both national tools and assessed need levels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two week roster cycles confirmed adequate staff cover has been provided, with staff replaced in any unplanned absence from a pool of casual staff.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able to be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clinical services manager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can be used, as part of Ultimate Care’s policy. When they are to be used, each individualised medication is authorised by the GP and dispensed as per the standing orders guidelines. No standing orders were in use at Ultimate Care Aroha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is in line with recognised nutritional guidelines for older people. The menu follows summer and winter patterns and has been reviewed by a qualified dietitian within the last two years. Recommendations made at that time have been implemented. A food control plan is in place and was registered with the Ministry of Primary Industries on 27 June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resident-initiated request for cooked breakfasts has been responded to with cooked breakfasts being available every Tuesday morning. In addition, ‘rolling breakfasts’ are now available at Ultimate Care Aroha, with breakfasts available anytime between 0730 and 0930, to suit when the resident wakes up. The facility’s goal is to move towards an environment that is homelier and more responsive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The dining room was spacious, with laundered tablecloths, tablemats and centrepieces on each table to enhance the dining experience for residents. Residents were seen to be given time to eat their meal in an unhurried fashion and those requiring assistance had this provided. There were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previous corrective action, around the availability of food at all times in the secure unit has been addressed. Evidence verified a wide range of food was always available in the secure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interviews verified the provision of care to residents was not always consistent with their needs, goals and the plan of care.  </w:t>
              <w:br/>
              <w:t>A resident on Warfarin has appropriate documentation in place identifying the required interventions to monitor for the potential risks of being on the medication. The wound management strategies for residents with wounds were detailed and well documented. A resident who suffered a recent fall had a post falls assessment with comprehensive neurological assessment following the fall. Nine of fifteen files reviewed, however, did not accurately describe the required interventions to meet the residents’ assessed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those areas mentioned in criterion 1.3.6.1, the attention to meeting a diverse range of resident’s individualised needs was evident in other areas of service provision. An interview with a member of the “Sequel team”, verifies Ultimate Care Aroha’s commitment to providing quality palliative care. The team works alongside the staff to enable them to work in partnership with the hospice to support better palliative care in aged care.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 Interviews with residents and families describe staff of Ultimate Care Aroha as “caring staff” who “accommodate each resident’s needs”. Staff are responsive to family’s requests.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with the support of a recreation assistant and several volunteers. The programme at Ultimate Care Aroha is offered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was diverse and matches the skills, likes, dislikes and interests identified in assessment data. The programme captures special themes and events and includes all residents. The ability of the programme to meet the needs of all residents with its diversity, recreation assistant and volunteers addresses a previous corrective action whereby the programme was limited by the resources available. Activities reflected residents’ goals, ordinary patterns of life and included normal community activities. Individual, group activities and regular events are offered.</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includes all residents from each area. Examples included the ‘beginning of spring’, with lambs in the facility, camping (putting a tent up in the lounge under the residents’ direction), a daily walking group, visiting entertainers, school groups, cultural groups, preschool groups (visiting and being visited), quiz sessions, weekly outings, a knitting group that knits blankets for the neonatal unit and daily news updates. The activities programme is discussed at the minuted residents and family meetings and indicated residents’ input is sought and responded to. Resident and family satisfaction surveys demonstrated satisfaction and that information is used to improve the range of activities offered. Residents interviewed confirmed they find the programme meets their needs. A monthly newsletter goes out to all families and keeps everyone informed about what is going on.</w:t>
            </w:r>
          </w:p>
          <w:p w:rsidR="00EB7645" w:rsidRPr="00BE00C7" w:rsidP="00BE00C7">
            <w:pPr>
              <w:pStyle w:val="OutcomeDescription"/>
              <w:spacing w:before="120" w:after="120"/>
              <w:rPr>
                <w:rFonts w:cs="Arial"/>
                <w:b w:val="0"/>
                <w:lang w:eastAsia="en-NZ"/>
              </w:rPr>
            </w:pPr>
            <w:r w:rsidRPr="00BE00C7">
              <w:rPr>
                <w:rFonts w:cs="Arial"/>
                <w:b w:val="0"/>
                <w:lang w:eastAsia="en-NZ"/>
              </w:rPr>
              <w:t>A twenty-four-hour activities plan guides the recreational activities to meet the twenty-four hour needs of residents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Apart from those examples referred to in criterion 1.3.6.1, where progress is different from expected, the service responds by initiating changes to the plan of care. Examples were sighted of short term care plans being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30 April 2019) is publicly displayed. Appropriate systems are in place to ensure the residents’ physical environment and facilities are fit for their purpose and well maintained. The driveway has been repaired and is now being monitored for any further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No norovirus outbreaks have occurred at Ultimate Care Aroha in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one resident was using an enabler, which was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6426"/>
        <w:gridCol w:w="3007"/>
        <w:gridCol w:w="17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internal audit plan that is followed to review its internal operational and administrative processes. A review of the files evidenced these had been undertaken as per the schedule. However, where there had been partial attainments noted on some of the audits, this had not resulted in a corrective action plans with relevant actions to address any shortfalls noted. There was then no sign off by the responsible manager to reflect a monitoring process had occurred and the issue/s had been adequately addressed. A review of the past six months internal audits reflected a number of missing or incomplete corrective action plans. The corrective action planning for the other quality indicators recorded on the electronic quality system had been completed as required. Discussion with the facility manager and the clinical services manager confirmed that appropriate actions had in fact occurred, but they had not been recorded appropriately.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internal audits are being regularly carried out as per the organisational schedule, formal corrective action plans are not being consistently developed when attainment is only partial.  Where an action plan has been developed, there is no appropriate follow up and monitoring with managers sign off of any actions, once they have been implemented, to indicate improvements have been achieved and issues have been resolved satisfactorily.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internal audits are reviewed consistently to identify any corrective action plans that need to be developed and these are completed as per the required process. Ensure all corrective action plans are then monitored and signed off by the relevant manager.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fifteen files reviewed, were of residents who had been identified as having challenging behaviours. All seven residents had behaviour assessments and behaviour monitoring in place. However, behaviour management plans identified the behaviours, though did not identify the specific individualised interventions required to manage those behaviours, or triggers to those behaviours. Behaviour monitoring charts verified challenging behaviour episodes remain. Interviews with staff verified the use of de-escalation strategies and staff were observed implementing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changes made by the GP to address one of the resident’s behaviour, was not recorded in the care plan nor seen to be monitored for effectiveness. This was verified by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A resident with weight-loss had a request by the GP to monitor the weight loss weekly and evidence is sighted of one weeks monitoring occurring, however no further weights were documented. Interviews with staff evidence no further monitoring has occurred. A GP note at the same consultation requests a follow-up in 2-3 weeks to ascertain possible causes. A review by the GP has not been followed up, with no system in place to capture the GPs’ requests to follow-up residents.</w:t>
            </w:r>
          </w:p>
          <w:p w:rsidR="00EB7645" w:rsidRPr="00BE00C7" w:rsidP="00BE00C7">
            <w:pPr>
              <w:pStyle w:val="OutcomeDescription"/>
              <w:spacing w:before="120" w:after="120"/>
              <w:rPr>
                <w:rFonts w:cs="Arial"/>
                <w:b w:val="0"/>
                <w:lang w:eastAsia="en-NZ"/>
              </w:rPr>
            </w:pPr>
            <w:r w:rsidRPr="00BE00C7">
              <w:rPr>
                <w:rFonts w:cs="Arial"/>
                <w:b w:val="0"/>
                <w:lang w:eastAsia="en-NZ"/>
              </w:rPr>
              <w:t>A resident with a history of congestive heart failure, has no documentation in place to alert staff to what interventions are required to monitor an early deterioration of the resident’s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documentation detailing the provision of the required interventions to meet the resident’s needs, is not consistent with the findings from assessment of the resident. This was evident in nine of fifteen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documented interventions in the resident’s care plan is reflective of the resident’s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Aroha</w:t>
    </w:r>
    <w:bookmarkEnd w:id="58"/>
    <w:r>
      <w:rPr>
        <w:rFonts w:cs="Arial"/>
        <w:sz w:val="16"/>
        <w:szCs w:val="20"/>
      </w:rPr>
      <w:tab/>
      <w:t xml:space="preserve">Date of Audit: </w:t>
    </w:r>
    <w:bookmarkStart w:id="59" w:name="AuditStartDate1"/>
    <w:r>
      <w:rPr>
        <w:rFonts w:cs="Arial"/>
        <w:sz w:val="16"/>
        <w:szCs w:val="20"/>
      </w:rPr>
      <w:t>13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