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Edmund Hillary Retirement Village Limited - Edmund Hillary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Edmund Hillary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Edmund Hillary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September 2018</w:t>
      </w:r>
      <w:bookmarkEnd w:id="7"/>
      <w:r w:rsidRPr="009418D4">
        <w:rPr>
          <w:rFonts w:cs="Arial"/>
        </w:rPr>
        <w:tab/>
        <w:t xml:space="preserve">End date: </w:t>
      </w:r>
      <w:bookmarkStart w:id="8" w:name="AuditEndDate"/>
      <w:r w:rsidR="00A4268A">
        <w:rPr>
          <w:rFonts w:cs="Arial"/>
        </w:rPr>
        <w:t>28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room in the dual-purpose wing has been assessed as suitable for use as a double (shared) room for either rest home or hospital level of care.  This room was initially built as a day care area, so is more than twice the size of a standard care room.  It was then converted into a single bedroom, the reconfiguration would allow couples to share the space.  This increases bed numbers from 235 to 236.</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Edmund Hillary is part of the Ryman Group of retirement villages and aged care facilities.  They provide rest home, dementia and hospital level care for up to 236 residents.  There were 187 residents at the time of the audit.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One room in the dual-purpose wing has been verified at this audit as suitable for use as a double (shared) room for either rest home or hospital level of care.  This room was a day care room, the reconfiguration would allow couples to share the space. </w:t>
      </w:r>
    </w:p>
    <w:p w:rsidRPr="00A4268A">
      <w:pPr>
        <w:spacing w:before="240" w:line="276" w:lineRule="auto"/>
        <w:rPr>
          <w:rFonts w:eastAsia="Calibri"/>
        </w:rPr>
      </w:pPr>
      <w:r w:rsidRPr="00A4268A">
        <w:rPr>
          <w:rFonts w:eastAsia="Calibri"/>
        </w:rPr>
        <w:t>The village manager is appropriately qualified and experienced and is supported by an assistant manager and a clinical manager/registered nurse.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Areas of continuous improvements were identified around reducing falls in the rest home and hospital, food services, laundry services and the restraint minimisation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rooms have ensuites.  External areas are safe and well maintained with shade and seating available.   Fixtures, fittings and flooring are appropriate and toilet/shower facilities are constructed for ease of cleaning.  There are spacious lounges and dining areas in each unit.  The dementia unit allows for safe wandering and areas for group or individual activities.  Resident rooms are spacious and allow for safe movement of staff and mobility equipment.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four residents assessed as requiring the use of restraint and no residents required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 annual in-service calendar.  Interviews with thirty-three staff (eleven caregivers on the am and pm shifts (four rest home, four hospital, two dementia, one serviced apartment), eleven nursing staff (four-unit coordinators/registered nurses (RNs), six staff RNs, one enrolled nurse), one chef, one maintenance, two laundries, one household staff, one dietitian, and five activities officers) confirmed their understanding of the Code.  Staff could provide examples of how the Code applies to their job role and responsibilities.  Fourteen residents interviewed (four rest home and ten hospital level) and seven relatives (one rest home, two hospital and four dementia unit)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on all fourteen resident files reviewed (four rest home- including one serviced apartment resident and one respite resident, seven hospital including one ACC resident and three dementia).  Discussions with staff confirmed that they are familiar with the requirements to obtain informed consent for entering rooms and personal care.  Enduring power of attorney (EPOA) evidence is filed in the residents’ charts.  All residents in the dementia unit have activated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relatives confirmed the service provided opportunities for the family/EPOA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programmes includes opportunities to attend events outside of the facility including activities of daily living, for example, shopping.  There is an onsite café and a shop as well.  Residents are assisted to meet responsibilities and obligations as citizens, for example, voting and completion of the census.  Residents are supported and encouraged to remain actively involved in community and external groups.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 register includes written and verbal complaints, dates and actions taken.  Complaints are being managed in a timely manner, meeting timeframes determined by the Health and Disability Commissioner (HDC).  Six complaints have been lodged in 2018 (year to date).  There is evidence of complaints received being discussed in staff and management meetings.  All complaints received were investigated and were documented as resolved.  The village manager reported that he makes every effort to meet face to face with complainants.</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escalate their complaint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The village manager or the assistant manager discuss the information pack with residents/relatives on admission.  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involved residents in decisions about their care.  Resident preferences are identified during the admission and care planning process and this includes family involvement.  Interviews with residents confirmed their values and beliefs were considered.  There were instructions provided to residents on entry regarding responsibilities of personal belongings in their admission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described how choice is incorporated into resident care provision.  </w:t>
            </w:r>
          </w:p>
          <w:p w:rsidR="00EB7645" w:rsidRPr="00BE00C7" w:rsidP="00BE00C7">
            <w:pPr>
              <w:pStyle w:val="OutcomeDescription"/>
              <w:spacing w:before="120" w:after="120"/>
              <w:rPr>
                <w:rFonts w:cs="Arial"/>
                <w:b w:val="0"/>
                <w:lang w:eastAsia="en-NZ"/>
              </w:rPr>
            </w:pPr>
            <w:r w:rsidRPr="00BE00C7">
              <w:rPr>
                <w:rFonts w:cs="Arial"/>
                <w:b w:val="0"/>
                <w:lang w:eastAsia="en-NZ"/>
              </w:rPr>
              <w:t>One room in the dual-purpose wing has been assessed as suitable for use as a double (shared) room for either rest home or hospital level of care.  A privacy curtain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A letter of invitation is sent to local Iwi annually.  There are supporting policies that provide recognition of Māori values and beliefs and identify culturally safe practices for Māori.  Family/whānau involvement is encouraged in assessment and care planning and visiting is encouraged.  Links are established with disability and other community representative groups as requested by the resident/family.  A kapa haka group attended and performed at a portrait unveiling of Edmund Hillary and have been invited and returned on several occasions.  Cultural needs are addressed in the resident’s care plan.  At the time of the audit, no residents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further discussed and incorporated into the care plan.  Six monthly multi-disciplinary team meetings occur to assess if needs are being met.  Family are invited to attend.  Discussions with relatives confirmed that residents’ values and beliefs are considered.  Residents interviewed confirmed that staff consider their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Staff sign a code of conduct/house rules, professional boundaries policies and procedures and a policy around bullying during their induction to the facility.   The monthly full facility meetings include discussions on professional boundaries and concerns as they arise.  Interviews with three managers (village manager, clinical manger, assistant manager)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against each service level.  It is reported through to Ryman Christchurch for collating, monitoring and benchmarking between facilities.  Indicators include resident incidents by type, resident infections by type, staff incidents or injuries by type, and resident and relative satisfaction.  Feedback is provided to staff.   Quality improvement plans (QIPs) are developed where results do not meet targets.  </w:t>
            </w:r>
          </w:p>
          <w:p w:rsidR="00EB7645" w:rsidRPr="00BE00C7" w:rsidP="00BE00C7">
            <w:pPr>
              <w:pStyle w:val="OutcomeDescription"/>
              <w:spacing w:before="120" w:after="120"/>
              <w:rPr>
                <w:rFonts w:cs="Arial"/>
                <w:b w:val="0"/>
                <w:lang w:eastAsia="en-NZ"/>
              </w:rPr>
            </w:pPr>
            <w:r w:rsidRPr="00BE00C7">
              <w:rPr>
                <w:rFonts w:cs="Arial"/>
                <w:b w:val="0"/>
                <w:lang w:eastAsia="en-NZ"/>
              </w:rPr>
              <w:t>MyRyman electronic resident information (eg, care plans, monitoring charts) have been implemented that allow for more one-on-one time with residents and less paper-based documentation.  Interventions (eg, weight management, falls management strategies, pain management, behaviour management) documented on myRyman are implemented and are reviewed daily by a registered nurse.  MyRyman care plans provide evidence to indicate when cares are being delivered.  Interviews with care staff confirmed that although there has been a settling in time for implementation of myRyman, the system allows for a greater amount of time to be spent reviewing the care plan with the resident in the resident’s room and assists caregivers in remembering to record when specific cares are being delivered (eg, turning charts, food and fluid intake and output).  Another positive aspect of the myRyman system is notification to the care staff when there is a change to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A general practitioner (Third Age medical practice) visit the facility daily, Monday – Friday with 24/7 on-call services in place.  GP visits can often be as frequent as one GP seeing residents in the morning and another GP seeing patients in the afternoon.  Links are embedded with allied health professionals.  In the selection of resident files reviewed, care plans reflected input from physiotherapists, dietitians, and podiatrists.  The health and safety programme has introduced a ‘stop and think’ employee campaign.  Staff complete cards to identify risk ratings and hazard controls.  The service has strengthened communication via six-monthly multidisciplinary meetings and a monthly newsletter.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Staff are required to record family notification when entering an incident into the database.  Incidents reviewed met this requirement.  Family members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Edmund Hillary is a Ryman healthcare retirement village.  The care centre is modern and spacious.  The facility is built across three floors and is designed around a large atrium and courtyards.  It provides rest home, hospital and dementia levels care for up to 235 residents.  This includes 40 serviced apartments certified to be able to provide rest home level care.  The units are broken down into the following.  (i) Aoraki unit is a 43-bed dual-purpose unit; (ii) Ollivier unit is a 42-bed hospital unit; (iii) Kathmandu unit is a 30-bed hospital unit; (iv) Himalaya unit is a 50-bed rest home unit; (vi) Tibet special care unit is a 30-bed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As part of this audit, one room in the dual-purpose wing has been verified as suitable for use as a double (shared) room for either rest home or hospital level of care.  This room was a day care room, the reconfiguration would allow couples to share the space.  This increases bed numbers from 235 to 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during the audit was187 (63 rest home level residents (including seven in the serviced departments), 94 hospital level residents and 30 dementia level residents.  There were three rest home level residents on respite and one hospital level resident on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Edmund Hillary.  Organisational objectives for 2018 are defined with evidence of monthly reviews and quarterly reporting to Ryman Christchurch on progress towards meeting these objectives.  Evidence in staff and management meeting minutes reflect discussions around the 2018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Edmund Hillary has been in the role for over five years.  An assistant manager and a clinical manager (registered nurse) both provide management support to the village manager.  The clinical manager has been in the role for over four years and the assistant manager has been in the role since 2007.  The management team is supported by a regional manager who was also present during the audit as a support person.</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have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assistant manager and clinical manager are responsible during the temporary absence of the village manager.  The unit coordinators/RNs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Edmund Hillary has a well-established quality and risk management system that is directed by Ryman Christchurch (head office).  Quality and risk performance is reported across the facility meetings and also to the organisation's management team.  Discussions with the managers and staff and review of management and staff meeting minutes, demonstrates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 monthly for each wing and relative meetings are held six monthly.  The village manager attends the meetings and minutes are maintained.  Resident and relative surveys are completed annually.  Results for the February 2018 survey reflected improvements compared to 2017 in all areas but one (building/grounds).  A quality improvement plan was implemented to address the grounds.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committee meetings.  A health and safety officer (assistant manager) is appointed who has completed stage one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Ryman has achieved tertiary level ACC Workplace Safety Management Practice to March 2019.  A review of the hazard register and the maintenance register indicates that there is resolution of issues identified.  All contractors are inducted to health and safety processes by maintenance staff.  All new staff are inducted and orientated to the facility and are advised of the health and safety programme.  There is also annual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identifying residents at risk of falling while using their mobility equipment.  Falls have showed a reduction for hospital level residents over the past six months in the hospital and have remained low (below the threshold) for the 2018 calendar year for the rest home level residents and has resulted in a rating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on V-care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incident/accident reports (eg, witnessed and unwitnessed falls, skin tears, challenging behaviours) identified that all are fully completed and include follow-up by a registered nurse.  The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able to identify situations would be reported to statutory authorities.  Examples were provided which included notification to public health authorities for two infectious outbreaks (April 2017 and June 2018), one coroner’s inquest (open and awaiting a response), one police investigation for a missing resident (Feb 2018) and one DHB complaint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Each staff HR file out of fifteen staff files reviewed (six caregivers, six registered nurses, two activities coordinators/diversional therapists, one housekeeper) included a signed contract, job description relevant to the role the staff member is in, police check, induction, application form and two reference checks.  The assistant manager confirmed that staff are not allowed to begin employment until reference checks are completed.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 and enrolled nurse practising certificates is maintained within the facility.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A general orientation programme that is attended by all staff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Training is offered multiple times/days to ensure that staff are able to attend.   Staff also complete three competency questionnaires annually.  Registered nurses are supported to maintain their professional competency.  Fourteen of twenty-six registered nurses have completed their interRAI training and two RNs were in training at the time of the audit.  RN’s and EN’s attend journal club.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registered nurses and caregivers related to specialised procedure or treatment including (but not limited to)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manager and clinical services manager/RN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Aoraki wing (occupancy 31 hospital and 10 rest home level residents) is staffed with a unit coordinator/RN Tuesday – Saturday.  Two staff RNs cover both the AM and PM shifts and one RN covers the night shift.  The am shift is staffed with three long and four short shift caregivers, the PM shift is staffed with three long and three short shift caregivers and the night shift is staffed with two long shift caregivers.  This wing is where the dual-purpose beds are being utilised.  It is also where the double room for rest home and/or hospital level of care was assessed for certification as a double room.</w:t>
            </w:r>
          </w:p>
          <w:p w:rsidR="00EB7645" w:rsidRPr="00BE00C7" w:rsidP="00BE00C7">
            <w:pPr>
              <w:pStyle w:val="OutcomeDescription"/>
              <w:spacing w:before="120" w:after="120"/>
              <w:rPr>
                <w:rFonts w:cs="Arial"/>
                <w:b w:val="0"/>
                <w:lang w:eastAsia="en-NZ"/>
              </w:rPr>
            </w:pPr>
            <w:r w:rsidRPr="00BE00C7">
              <w:rPr>
                <w:rFonts w:cs="Arial"/>
                <w:b w:val="0"/>
                <w:lang w:eastAsia="en-NZ"/>
              </w:rPr>
              <w:t>Ollivier wing (occupancy 34 hospital level residents) is staffed with a unit coordinator/RN Tuesday – Saturday.  Two RNs cover the AM shift, and two RNs cover the PM shift.  One RN covers the night shift.  The AM shift is staffed with four long and four short shift caregivers, the PM is staffed with two long and four short shift caregivers and the night shift is staffed with two long shift caregivers.  In addition, a fluid assistant is rostered on the AM shift and a lounge carer is rostered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Kathmandu wing (occupancy 29 hospital level residents) is s staffed with a unit coordinator/RN Sunday – Thursdays.  One RN covers the AM shift with a second RN staffed the two days the unit coordinator is not available.  One RN is staffed on the PM shift and one RN is staffed on the night shift.  The AM shift is staffed with two long and three short shift caregivers, the PM shift is staffed with two long and short shift caregivers and the night shift is staffed with two long shift caregivers.  In addition, a fluid assistant is rostered on the AM shift and a lounge carer is rostered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Tibet wing (occupancy 30 dementia level residents) is a secure unit with one-unit coordinator/RN Tuesday – Saturday.  One staff RN covers the AM shift with a second RN rostered on the two days that a unit coordinator is not available.  One RN covers the PM shift from 1500 – 2100).  The AM shift is staffed with two long and one short shift caregivers, the PM shift is staffed with two long shift caregivers and the night shift is staffed with three long shift caregivers.  In addition, a dining assistant is rostered from 1000 – 1400 and a lounge carer and servery assistant are rostered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Himalaya wing (46 rest home level residents) is staffed with one-unit coordinator/RN Sunday – Thursday.  One staff RN covers the AM shift with a second RN rostered on the two days that a unit coordinator is not available.  The AM shift is staffed with two short and two long shift caregivers, the PM shift is staffed with two short shift and two long shift caregivers and the night shift is staffed with two long shift caregivers.</w:t>
            </w:r>
          </w:p>
          <w:p w:rsidR="00EB7645" w:rsidRPr="00BE00C7" w:rsidP="00BE00C7">
            <w:pPr>
              <w:pStyle w:val="OutcomeDescription"/>
              <w:spacing w:before="120" w:after="120"/>
              <w:rPr>
                <w:rFonts w:cs="Arial"/>
                <w:b w:val="0"/>
                <w:lang w:eastAsia="en-NZ"/>
              </w:rPr>
            </w:pPr>
            <w:r w:rsidRPr="00BE00C7">
              <w:rPr>
                <w:rFonts w:cs="Arial"/>
                <w:b w:val="0"/>
                <w:lang w:eastAsia="en-NZ"/>
              </w:rPr>
              <w:t>Service apartments (7 rest home level residents) is typically staffed with one-unit coordinator/RN five days a week but due to one RN on leave, an enrolled nurse is acting in this role.  An RN is rostered on the two days that the unit coordinator is not available.  The AM is staffed with one long and one short shift caregiver, and the PM is staffed with two short shift caregivers (1600 – 2100).  After 2100, the caregivers in the rest home wing (Himalaya) staff the serviced apartments.  The call system is linked to their pagers.</w:t>
            </w:r>
          </w:p>
          <w:p w:rsidR="00EB7645" w:rsidRPr="00BE00C7" w:rsidP="00BE00C7">
            <w:pPr>
              <w:pStyle w:val="OutcomeDescription"/>
              <w:spacing w:before="120" w:after="120"/>
              <w:rPr>
                <w:rFonts w:cs="Arial"/>
                <w:b w:val="0"/>
                <w:lang w:eastAsia="en-NZ"/>
              </w:rPr>
            </w:pPr>
            <w:r w:rsidRPr="00BE00C7">
              <w:rPr>
                <w:rFonts w:cs="Arial"/>
                <w:b w:val="0"/>
                <w:lang w:eastAsia="en-NZ"/>
              </w:rPr>
              <w:t>A ‘coverpool’ of staff (one RN four days a week, three caregivers four days a week, two caregivers two days a week and one housekeeper four days a week) are additional staff that are added to the roster to cover staff absences.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(both hard copy and electronic) are protected from unauthorised access.  Entries are legible, dated and signed by the relevant care staff or registered staff, including their designation.  Residents’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admission agreements (including the resident under ACC) and the one short-stay admission agreement for a respite care resident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 and senior caregivers have completed annual medication competencies and education.  Registered nurses have completed syringe driver training.  Medications are stored safely in all units (three hospital units, rest home, serviced apartments and dementia care unit).  All regular medications (blister packs) are checked on delivery by RNs against the electronic medication chart.   A bulk supply order is maintained for hospital level residents.  All medications were within the expiry dates.  Eyedrops and ointments are dated on opening.   The medication fridges are checked weekly and temperatures sighted were within the acceptable range.  There were three rest home residents and one hospital level resident self-medicating on the day of audit.  Medications were stored safely in the resident’s room.  Three monthly self-medication competencies had been completed by the RN and authorized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Twenty-eight medication charts on the electronic medication system were reviewed (14 hospital, eight rest home and six dementia care).  Medications are reviewed at least three monthly by the GP.  The GP and the community mental health nurse review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head chef, two under cooks and five kitchen hands who cover the week between them.  All have current food safety certificates.  The head chef oversees the procurement of the food and management of the kitchen.  The food control plan has been submitted with a site visit scheduled for October 2018.  There is a well-equipped kitchen and all meals are cooked onsite.  Meals are taken to the dining rooms in hot boxes, then transferred into bain maries and served directly from these.  Meals going to rooms on trays have covers to keep the food warm.  Special equipment such as lipped plates are available.  On the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and on a whiteboard.   There are snacks available at all times in the dementia unit.  The four-weekly menu cycle is approved by a dietitian.  All residents and family members interviewed were very satisfied with the meals.  Residents have the opportunity to feedback on the service through resident meetings and surveys.  Management liaise regularly with the head chef to monitor feedback and identify any areas for improvement.  In the last six months the facility has introduced ‘project delicious’ to offer variety and choice and to cater for all dietary needs with positive feedback from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V-care system within 24-48 hours of admission for all residents entering the service including short-stay residents and residents admitted under the 48-hour complimentary service (as viewed in a previous file).  InterRAI assessments had been completed for all long- term residents whose files were reviewed.  Applicable V-care assessments are completed and reviewed at least six monthly or when there is a change to residents’ health/risk.  The outcome of all assessments is reflected in the myRyman care plan.  Behaviour assessments had been completed for the files of three dementia care residents with the outcomes included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resident goals and provide detail to guide care.  There was a behaviour management plan in the files of dementia care residents that included interventions and strategies for de-escalation including activities.  MyRyman care plans reviewed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district nurse, wound care nurse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or nurse specialist consultation.   Registered nurse interviewed state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management plans are completed on myRyman.  When wounds are due to be dressed a task is automated on the RN daily schedule.  Wound assessment, wound management, evaluation forms, and wound monitoring occurs as planned in the sample of wounds reviewed.  Three chronic ulcers have had input from the GP.  There are currently six pressure injuries including three grade 2’s and two grade one facility acquired, and one non-facility acquired grade 3.  The district nurse has had input into the pressure injury management as the wound was big managed in the community prior to admission.  The clinical manager is the wound nurse champion for the facility and reviews wounds regularly.  There has been input from the GP and wound care nurse specialist as required.  Photos of wounds demonstrate healing progress.    Pressure injury prevention equipment is available and is being used.  Caregivers document changes of position electronically.</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officers (all qualified diversional therapists – DT), activity assistants and lounge carers implement the Engage activities programme in each unit that reflects the physical and cognitive abilities of the resident groups.  The activity officers (DTs) work Monday to Friday in each of the five wings (refer 1.2.8) and are supported by a weekend activity team.  The rest home programme is Monday to Friday and the hospital and dementia units are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residents in serviced apartment can choose to attend the serviced apartment or rest home activity programme.  Those residents who prefer to stay in their room or who need individual attention have one on one visits to check if there is anything they need and to have a chat.  Village friends visit regularly and volunteer time with residents including chats, reading and pamper sessions.  The service hires a mobility van for hospital outings.  The service has a van for the rest home, dementia care and mobile hospital resident outings.  Residents attend functions in the community such as the ‘opportunity’ ’monthly concerts and school productions.   There are regular combined activities and celebrations held in the large lounges and atrium for residents from all the units.  Dementia care residents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units include triple A exercises, garden walks in the two courtyards and around the village, singing, happy hours, hand therapy, word games, knitting group and dancing.  The men attend the combined units’ men’s group for activities and outings.   The activity officer is on duty from 9.30 to 6pm and a lounge carer is on duty from 4 to 7pm.  Resources are plentiful.  Volunteers include the ukulele group, Pilipino cultural group and pet therapy visits (to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chapel with room visits as required.  There are regular entertainers visiting the facility.  Special events like birthdays, Easter, Father’s Day, Anzac Day and Christmas and theme days are celebrated.  Junior school children and Kapa Haka groups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nine long-term resident care plans reviewed had been evaluated by the registered nurses six monthly or when changes to care occurs.  Four residents (two hospital, one rest home and one dementia care resident) have not been at the service long enough for an evaluation.   The respite care resident does not require an evaluation of care.  The RN completes a daily evaluation for respite residents.  The multidisciplinary review involves the RN, GP, caregiver and resident/family if they wish to attend.  Activities plans are evaluated at the same time as the care plan.   There are one-three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geriatrician, mental health services for older people, dermatology and dietitian.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13 August 2019.  There is a full-time facilities manager who supervises three maintenance men, one gas reader and five gardening staff.  Contractors are available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hoists and scales are checked annually.   Hot water temperatures have been monitored randomly in resident areas and were within the acceptable range.  The communal lounges and hallways are carpeted.  The corridors are wide, have safety rails and promote safe mobility with the use of mobility aids.  Residents were observed moving freely around the areas with mobility aids where required.  The external areas and gardens were well maintained as are the indoor atrium and courtyards.  There is an upstairs outdoor balcony area as well.  All outdoor areas have seating and shade.  The dementia unit garden is safely fenced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within the facility have ensuites.  Fixtures, fittings and flooring are appropriate.  Toilet/shower facilities are easy to clean.  There is ample space in toilet and shower areas to accommodate shower chairs and hoists if appropriate.  There are mobility toilets near all communal lounges.  There are privacy signs on all 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In the dual-purpose unit there is one double room occupied by a married couple (rest home).  The room has a lounge, bedroom and ensuite.  There are call bells by each bed and in the ensuite.  When in the lounge the residents wear a call bell pendant.  There is ample space to provide care and privacy can be assured.  This room has been verified as fit for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There are dining rooms in each area.  The dementia unit has two dining rooms and lounge areas.  There is a shop, café, and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The cleaning trolley also has a locked cupboard for chemicals.  All chemicals on the cleaner’s’ trolley sighted were labelled.  There is a sluice room on each floor for the disposal of soiled water or waste and the sluicing of soiled linen if required.  The sluice rooms and the laundry are kept locked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In 2017 the facility commenced a laundry project.  They installed a labelling machine and the ‘purple bag system in order to reduce the amount of unnamed/missing clothes items.  This has project has been evaluated and is successful.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The care centre has an approved fire evacuation plan and fire drills six monthly.  Smoke alarms, sprinkler system and exit signs are in place.  The service has emergency generators on site that are serviced by an external contractor.  It also has two gas BBQs available in the event of a power failure and torches.  Emergency lighting is in place, which will last for four hours.  There are civil defence kits in each unit and adequate stores of drinkable and non-drinkable water on site.  </w:t>
            </w:r>
          </w:p>
          <w:p w:rsidR="00EB7645" w:rsidRPr="00BE00C7" w:rsidP="00BE00C7">
            <w:pPr>
              <w:pStyle w:val="OutcomeDescription"/>
              <w:spacing w:before="120" w:after="120"/>
              <w:rPr>
                <w:rFonts w:cs="Arial"/>
                <w:b w:val="0"/>
                <w:lang w:eastAsia="en-NZ"/>
              </w:rPr>
            </w:pPr>
            <w:r w:rsidRPr="00BE00C7">
              <w:rPr>
                <w:rFonts w:cs="Arial"/>
                <w:b w:val="0"/>
                <w:lang w:eastAsia="en-NZ"/>
              </w:rPr>
              <w:t>The “Austco Monitoring programme” call bell system is available in each resident room.  There are call bells and emergency bells in communal areas.  There is a nurse presence bell when a nurse/carer is in the resident room; a green light shows staff outside that a colleague is in a particular room.  The call bell system has a cascading system of call recognition that cascades if not responded to within a certain time from the primary nurse (caregiver) to the unit coordinator, to the clinical manager and to the village manager.  The system software is monitored.  In the dementia unit, the system includes an electronic beam management technology which is used to alert staff on the movements of residents in their rooms who are at high risk of falling.  Alerts are sent electronically to staff for those high-risk residents who are attempting to get out of bed unsupervised.  Once the resident gets out of bed at night the ensuite light automatically comes on.  Rest home residents in serviced apartments have call bell pendants.  The facility has its own security staff who are employed from 5.30 pm to 6 am seven days a week.  The service utilises external security cameras and has internal cameras in the corridors in the dementia/special care unit to promote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All heating is electrical.  Staff and residents interviewed stated that this is effective.  The entire site is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a registered nurse based in the hospital.  A job description defines the role and responsibilities for infection control.   The infection prevention and control committee are combined with the health and safety committee, which meets two monthly.  The programme is set out annually from head office and directed via the quality programme.  The programme is reviewed annually as part of the Ryman training day for infection control officers.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sanitizers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meet two monthly.   The infection control officer has been in the role since December 2017 and completed an induction to the role and attended an external infection control half day May 2018.  The infection control officer is allocated four hours per month to collate infection rates and provide reports to the committee, management and facility meetings including trends and analysis of infections.  The infection and prevention officer have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since the last audit.  In April 2017 there was an unconfirmed gastroenteritis outbreak.  The second outbreak in June 2018 was a confirmed norovirus outbreak.  Email notifications for both outbreaks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used only where it is clinically indicated and justified and where other de-escalation strategies have been ineffective.  The policies and procedures are comprehensive and include definitions, processes and use of restraints and enablers.  The organisation continues to work towards becoming restraint-free.</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no residents using enablers and only four residents using restraints.  This is a high achievement considering that there were 187 residents in the care facility, and has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  There have been improvements made in reducing the number of restraints used without experiencing an increase in the number of residents’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RN in partnership with the restraint coordinator,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hospital-level residents’ files were reviewed of residents using a restraint (one bed rails, one chair brief).  Completed assessments considered those listed in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a unit coordinator/registered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restraint coordinator.  The use of restraint is linked to the residents’ care plans.  Internal audits, conducted six-monthly, measure staff compliance in following restraint procedures.  Each episode of restraint is monitored at pre-determined intervals depending on individual risk to that resident.  Monitoring is documented on a specific restraint monitoring form,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monthly as part of the ongoing reassessment for the residents on the restraint register, and six-monthly as part of the care plan review.  Families are included as part of this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six-monthly restraint meetings, attended by the restraint coordinator, clinical manager, GP and unit coordinator where the applicable resident(s) are located.  Meeting minutes include (but are not limited to) a review of any residents using restraints or enablers, any updates to the restraint programme, and staff education and training and review.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6"/>
        <w:gridCol w:w="1280"/>
        <w:gridCol w:w="2235"/>
        <w:gridCol w:w="82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Falls have reduced for hospital level residents over the past six months and have remained low (below the threshold) for the 2018 year for rest home level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are used to identify areas that require improvement.  Clinical indicator data has individual reference ranges for acceptable limits.  Residents falls are monitored monthly with strategies implemented to reduce the number of falls including: highlighting residents at risk through a colour coding (traffic light) system; providing falls prevention training for staff; ensuring adequate supervision of residents; and encouraging resident participation in the activities programme; physiotherapy assessments for all residents; routine checks of all residents specific to each resident’s needs (intentional rounding); the use of sensor mats and night lights; and increased staff awareness of residents who are at risk of falling.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RNs interviewed were knowledgeable in regard to preventing falls and those residents who were at risk.  The falls prevention programme has been reviewed monthly and is regularly discussed at staff meetings.  A review of the data evidenced that the falls rate is below the Ryman benchmarked target (11/1000 bed nights) for both rest home and hospital level residents.  For rest home level residents, the average rate was 8.1/1000 bed nights (April 17 – Aug 18) and for hospital level residents the average number of falls is 8.9/1000 bed nights (Apr 17 – Aug 18).  Any spikes in data were explained with actions 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introduced a number of systems to ensure residents nutritional needs are met and the dining experience improved.  This has been achieved with the introduction of project delicious in February 2018.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 rotating seasonal menu offers a variety of choices including three main dishes for the midday and two choices for evening meal including a vegetarian option.   Gluten free meals are offered on the menu.  Dietary needs are met through the project delicious menu options.  The service has liaised with food suppliers to improve quality of suppliers including access to specialised pure foods for pureed options.   Other initiatives include an easy to read laminated menu card for ease of weekly ordering.  There is a glossary on the back of each weekly menu card explaining the terminology of meals/desserts to assist the residents and staff when ordering meals.   The dining rooms (viewed) have been set up to reflect an ambience of relaxed dining as observed during meal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the project delicious menu and dining experience has been measured by; 1) feedback from residents at the two monthly resident meetings held (in each unit) around the project delicious meals.  There have been very positive comments recorded in the minutes sighted since the introduction of project delicious, 2) ongoing education for staff around food services, dining room etiquette, nutrition and hydration, 3) feedback forms sighted evidenced residents and relatives are very satisfied with the meals and choices provided and 4) interviews with 14 residents and seven relatives all stated the meals (choice, quality and presentation) were very good to excellent.  The service has been successful in providing excellence in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processes reflect an area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project initiated in 2017 aimed to reduce un-named clothes, return clothing to residents in a timely manner and reduce complaints around the laundry service.  Each resident was provided with individually labelled laundry bags for their personal use.  These labelled ‘purple’ bags were seen in residents’ ensuites.  The organisation purchased a labelling machine and the laundry personnel label all residents’ personal items on admission and as required.  Staff received training on the new machine and the laundry processes.</w:t>
            </w:r>
          </w:p>
          <w:p w:rsidR="00EB7645" w:rsidRPr="00BE00C7" w:rsidP="00BE00C7">
            <w:pPr>
              <w:pStyle w:val="OutcomeDescription"/>
              <w:spacing w:before="120" w:after="120"/>
              <w:rPr>
                <w:rFonts w:cs="Arial"/>
                <w:b w:val="0"/>
                <w:lang w:eastAsia="en-NZ"/>
              </w:rPr>
            </w:pPr>
            <w:r w:rsidRPr="00BE00C7">
              <w:rPr>
                <w:rFonts w:cs="Arial"/>
                <w:b w:val="0"/>
                <w:lang w:eastAsia="en-NZ"/>
              </w:rPr>
              <w:t>The two laundry personnel interviewed on the days of audit could describe the procedure for reducing the amount of un-named/missing clothing.  There was no un-named/missing clothing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were informed of the laundry procedures.  Laundry audits have evidenced an improvement in laundry procedures.  The service has been successful in reducing the amount of un-named/missing clothing with zero complaints in 2018.  The recent satisfaction survey demonstrated an increase in resident/relative satisfaction from 76% in 2017 to 82.6%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 enablers and only four restraints were in place for a facility that had an occupancy of 187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an enabler and only four residents who required the use of a restraint (one bedrails and three chair briefs) during the audit which is to be commended when linked to the size of this facility with 187 residents (with 94 hospital level residents).  The low number of restraints used has not been impacted by resident falls (link CI 1.2.3.6).  Strategies implemented to minimise the use of restraint include mandatory staff education and training that includes staff competencies, encouraging residents at risk to not remain in their room, lounge carers, anticipating resident’s needs (eg toileting) and intentional rounding of residents at risk.  The restraint coordinator reported that a significant amount of time is spent educating families on the benefits of not using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Edmund Hillary Retirement Village Limited - Edmund Hillary Retirement Village</w:t>
    </w:r>
    <w:bookmarkEnd w:id="58"/>
    <w:r>
      <w:rPr>
        <w:rFonts w:cs="Arial"/>
        <w:sz w:val="16"/>
        <w:szCs w:val="20"/>
      </w:rPr>
      <w:tab/>
      <w:t xml:space="preserve">Date of Audit: </w:t>
    </w:r>
    <w:bookmarkStart w:id="59" w:name="AuditStartDate1"/>
    <w:r>
      <w:rPr>
        <w:rFonts w:cs="Arial"/>
        <w:sz w:val="16"/>
        <w:szCs w:val="20"/>
      </w:rPr>
      <w:t>27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