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Alaama Care Limited - Turama House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Alaama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Turama House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October 2018</w:t>
      </w:r>
      <w:bookmarkEnd w:id="7"/>
      <w:r w:rsidRPr="009418D4">
        <w:rPr>
          <w:rFonts w:cs="Arial"/>
        </w:rPr>
        <w:tab/>
        <w:t xml:space="preserve">End date: </w:t>
      </w:r>
      <w:bookmarkStart w:id="8" w:name="AuditEndDate"/>
      <w:r w:rsidR="00A4268A">
        <w:rPr>
          <w:rFonts w:cs="Arial"/>
        </w:rPr>
        <w:t>5 October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Turama House Rest Home provides rest home level care for up to 36 residents. The service is one of three facilities owned and operated privately by the same directors. The owner manager oversees all non-clinical aspects of service at Turama House Rest Home. Clinical care is overseen by a registered nurse manager who also works at a facility owned and operated by the same company.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 doctor from the Mental Health Services for the Older Adult (MHSOP) and a general practitioner.  </w:t>
      </w:r>
    </w:p>
    <w:p w:rsidRPr="00A4268A">
      <w:pPr>
        <w:spacing w:before="240" w:line="276" w:lineRule="auto"/>
        <w:rPr>
          <w:rFonts w:eastAsia="Calibri"/>
        </w:rPr>
      </w:pPr>
      <w:r w:rsidRPr="00A4268A">
        <w:rPr>
          <w:rFonts w:eastAsia="Calibri"/>
        </w:rPr>
        <w:t xml:space="preserve">This audit has resulted in a continuous improvement in medication management. No areas requiring improvement were identified.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The owner/manager visits the facility daily and monitors all services provided. A nurse manager who holds a current annual nursing practising certificate is experienced and suitably qualified to manage all clinical aspects of service.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 xml:space="preserve">The food service meets the nutritional needs of the residents with special needs catered for. Food is safely managed.  Residents verified satisfaction with meals.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have been multiple environmental upgrades undertaken over the past 12 months. There is a current building warrant of fitness.  Electrical and medical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 xml:space="preserve">Staff are trained in emergency procedures, use of emergency equipment and supplies and attend regular fire drills.  Fire evacuation procedures are regularly practised.  Residents reported a timely staff response to call bells.  Staff maintain security.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a restraint free environment. No enablers or restrains were in use at the time of audit. Should restraint be required, policy contains a comprehensive assessment, approval and monitoring process which was understood by the restraint coordinator and staff. Policy identifies that the use of enablers is voluntary for the safety of residents in response to individual requests. Restraint education is undertaken as part of staff orientation and annually thereafter.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 xml:space="preserve">Aged care specific infection surveillance is undertaken, and results reported through all levels of the organisation. Follow-up action is taken as and when required.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80"/>
        <w:gridCol w:w="1280"/>
        <w:gridCol w:w="987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 Advance care planning, establishing and documenting enduring power of attorney requirements and processes for residents unable to consent is defined and documented, as relevant, in the resident’s record.  The nurse manager interviewed stated that there are 20 residents currently with an advance care plan.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An advocate from the Health and Disability Commissioner’s service visits annually and has recently met with residents and attended the residents meeting in September 2018 to discuss their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are assisted to maximise their potential for self-help and to maintain links with their family and the community by attending a variety of organised outings, visits, shopping trips, activities, and entertainment.   Residents interviewed stated that they are encouraged when leaving the premises to sign in and sign back into the facility.   All residents have also been supported by facility staff in safe road crossing of the busy street accessing the local shopping centre.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unrestricted visiting hours and encourages visits from residents’ families and friends. Family and residents’ friends interviewed stated they felt very welcome when they visited and comfortable in their dealings with staff also having the option of visiting their family/friend in one of three lounges and had access to different outside settings other than the resident’s bedroom.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three verbal complaints have been received over the past 10 months since the current owner purchased the business, and that actions taken, through to an agreed resolution, are documented and completed within the timeframes.  Action plans show any required follow up and improvements have been made where possible.  The nurse manager is responsible for complaints management and follow up includes the owner/managers signoff.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There was one complaint received via the Health and Disability Commissioner open when the business was purchased. It was opened on the 19 July 2017. Documentation identifies that the current owner has responded to all required issues and that the complaint was closed on the 25 May 2018. The information sent to the Health and Disability Commissioner included evidence of a current medication policy which reflected residents’ self-administration of medications management practices and that all staff who administer medications hold a current competency to do so. This was confirmed in documentation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owner/manager has received no complaints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being made aware of the Code and the Nationwide Health and Disability Advocacy Service (Advocacy Service).  Residents and family have been provided with an information pack at the time of admission along with an admission agreement, and further information is provided in day to day discussions with staff. The Code is displayed throughout the facility and each of the resident’s bedrooms.  The main foyer and the two lounge areas provide information on advocacy services and how to make a complaint and feedback forms are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maintain privacy throughout the audit.  All residents have a private room.  Residents are encouraged to maintain their independence by attending community activities, arranging their own visits to the doctor, and participation in clubs of their choosing.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for all ages.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The principles of the Treaty of Waitangi are incorporated into day to day practice, as is the importance of whānau.  The nurse manager interviewed reported that there is one resident who affiliates with their Māori culture. There are no barriers in supporting residents who are admitted to the facility who identify as Māori.  There is a specific current Māori health plan and all values and beliefs are acknowledged with the support of the Te Whare Tapa Wha model and integrated into long-term care plans, along with information about kai (food), rongoa (medicine management), taonga (valuables) and tupapaku (instructions having passed away).  There is also an acknowledgement of the family spokesperson the resident has appointed.  Guidance on tikanga best practice is available and is supported by staff who identify as Māori in the facility.  Whanau were not available for interview, however the Māori resident interviewed reported that staff acknowledge and respect their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for example food and personal grooming/dressing preferences. 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diabetes nurse specialist, psychogeriatrician, physiotherapist, stoma nurse, mental health services for older persons,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staff being very aware of residents’ routines and personal preferences, the knocking on doors before entering rooms and day to day discussions.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of all ages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mixed cultural and ethnic population of residents.  Staff know how to access interpreter services, although reported this was rarely required due to all residents able to speak English, staff able to provide interpretation as and when needed and the support of family members.</w:t>
            </w:r>
          </w:p>
          <w:p w:rsidR="00EB7645" w:rsidRPr="00BE00C7" w:rsidP="00BE00C7">
            <w:pPr>
              <w:pStyle w:val="OutcomeDescription"/>
              <w:spacing w:before="120" w:after="120"/>
              <w:rPr>
                <w:rFonts w:cs="Arial"/>
                <w:b w:val="0"/>
                <w:lang w:eastAsia="en-NZ"/>
              </w:rPr>
            </w:pPr>
            <w:r w:rsidRPr="00BE00C7">
              <w:rPr>
                <w:rFonts w:cs="Arial"/>
                <w:b w:val="0"/>
                <w:lang w:eastAsia="en-NZ"/>
              </w:rPr>
              <w:t>There was one resident who has a significant sensory impairment.  All resources and equipment were available for the resident, for example support from community resources and the knowledge that the staff had of the resident and the equipment/aid.  All interventions and required support were sighted in the resident’s long-term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strategic and business plans, which are reviewed annually, outline the purpose, values, scope, direction and goals of the organisation. The documents described annual and longer term objectives and goals, and the associated operational plans. The owner/manager spends part of each day at Turama House Rest Home and attends staff monthly meetings. She discusses all issues and concerns with the nurse manager via email, telephone or face to face and monitors all service delivery at the facility. The owner/manager is directly responsible for financial management, human resources and environmental matters. The nurse manager informs the owner/manager of all quality data trending, corrective actions, quality initiatives, emerging risks, and resident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owner/manager purchased the facility on the 06 December 2017. She owns three facilities and has worked in the aged care industry for ten years. The nurse manager who has been in the role since purchase of the facility also oversees clinical services at a nearby sister facility. She completed a Post Graduate Degree in Advanced Nursing in 2017. Both managers hold relevant qualifications and attend appropriate ongoing education, such as accounting, payroll, elder abuse and stoma care, and they attend Auckland District Health Board (ADHB) training and meetings as required. Responsibilities and accountabilities are defined in a job description and individual employment agreement.  Both members of the management team confirmed their knowledge of the sector, regulatory and reporting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Auckland District Health Board (ADHB), and the Ministry of Health (MoH) for rest home level care including respite, chronic health conditions and residents under the age of 65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are 27 rest home level care residents at Turama House Rest Home. Twenty-two residents were receiving services under the ADHB – Age Related Residential Care contract, three residents were under the ADHB - Long Term Support Chronic Health contract and two residents were under the MOH – Non-Aged Residential Care contract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six boarders living at the facility who are either private paying or funded via alternative means and not from the health budget. These six people were not included in the resident numbers audited in this report. ADHB are aware of the boarders and two of the current boarders have been referred from the DHB. The facility actively manages the boarders. One has been referred to the needs assessment agency for re-assessment to rest home level care, two boarders and their families are looking for alternative care with the assistance of the nurse manager and one boarder is going back to their own home on 28 October 2018 with community support service assistance and the move will be overseen by a social worker from ADHB.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had a dispensation for one resident to be hospital level care which expired in May 2018. The resident has been moved to a hospital level care facility and the dispensation no longer applies.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owner manager is absent, the nurse manager carries out all the required duties under delegated authority, as sighted in documentation. During absences of key clinical staff, the clinical management is overseen by a registered nurse from a sister facility who is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patient satisfaction survey, monitoring of outcomes, and clinical incidents including infections, wounds, falls and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and interviews with management confirmed regular review and analysis of quality indicators and that related information is reported and discussed at the management daily catch-up, at the monthly management meeting and staff meetings. Staff reported their involvement in quality and risk management activities through audit activities and the implementation of corrective actions. Relevant corrective actions are developed and implemented to address any shortfalls. One example relates to a corrective action put in place to ensure that residents who have a personal fridge in their rooms, have the temperature monitored daily. Completed daily monitoring documentation forms were sighted. This process is now embedded into everyday practice. A quality improvement sighted related to the use of a resident sign-in and sign-out book. This was put in place and staff and resident education was undertaken and minuted. A review occurred after two months and residents were using the book. On the day of audit one resident who went to the shops stated to the auditor that they had to sign out prior to going. As the residents are independently mobile and they come and go as they wish and this process identifies who is in the facility at any given time should an emergency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initial resident satisfaction audit was completed in January 2018 to identify to the current owner that residents’ needs were being met. No negative comments were made. A further resident and family satisfaction surveys was undertaken in July 2018 which showed that residents and family are happy with all the services provided. Both managers stated that if any concerns or issues were to be raised they would address them using the corrective action or quality improvement process. Resident satisfaction surveys will be conducted at least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provided by an off-site developer and personalised to the service. The policies and procedures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managers described the processes for the identification, monitoring, review and reporting of risks and development of mitigation strategies. The managers are familiar with the Health and Safety at Work Act (2015) and have implemented requirements.   There was a current risk register in place which included chemical hazards. The register identifies newly identified risks and hazards, how they are managed and the frequency of monitoring.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incidents were investigated, action plans developed and actions followed-up in a timely manner.  One example relates to a resident who had an increased number of falls. The follow up included gaining the correct walking aid for the resident, educating the resident on correct use, and staff undertook close monitoring. No further falls have been recorded for the resident over a two month period. Adverse event data is collated, analysed and reported to the owner manager and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described essential notification reporting requirements, including for pressure injuries.  They advised there have been no notifications of significant events made to the Ministry of Health, since the previous audit. There have been no police investigations, coroner’s inquests, issues-based audits and any other notifications (eg, public health)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 The new owner manager has undertaken police vetting for all existing staff and will continue to do this for newly employed staff. </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Staff records reviewed showed documentation of completed orientation and a performance review after a three-month period and then an annual staff appraisal. All staff appraisals were up to date.</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The service maintains a record of individual staff education and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Training and education records showed that guest speakers present on-site and staff are encouraged to attend off-site education related to the role they undertake. This includes attendance at ADHB study 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is trained and competent to complete interRAI assessments and maintains their annual competency requirements. Records reviewed demonstrated completion of the required training and completion of annual performance appraisals for interRAI. A registered nurse from a sister facility is also interRAI competent and covers the nurse manager when on leave should any interRAI assessments be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members interviewed supported this. Staffing levels meet the interRAI acuity level report findings.  Observations and review of a six-week roster confirmed adequate staff cover has been provided, with staff replaced in any unplanned absence.  All clinical staff hold current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(RN) works four days a week at Turama House Rest Home and one day a week at a near-by sister facility for which she also undertakes on-call duties.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 manager visits the facility at least once a day including weekends. There is a dedicated cook seven hours per day, seven days a week and a diversional therapist who undertakes activities five days a week. One dedicated staff member undertakes laundry and cleaning seven days a week.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This was sighted in the six residents’ files reviewed. Prospective residents and/or their families are encouraged to visit the facility prior to admission and are provided with written information about the service and the admission process.   The organisation seeks updated information from the NASC and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details, assessments and signed admission agreements in accordance with contractual requirements.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An example reviewed of a patient recently transferred to the local acute care facility showed appropriate documentation and communication of all parties involved.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 paper-based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as requested and at two monthly intervals the pharmacist reconciles all residents’ medication charts with the nurse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audit there were no residents requiring controlled drugs.  The controlled drug register provided evidence of weekly stock checks up until the 19 July 2018; at that time a reconciliation of the controlled drug was completed by the pharmacist and the non-required medication was returned to the pharmacy.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three-monthly GP review is consistently recorded on the medicine chart.  Standing orders are not used.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self-administering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one of two cooks and is in line with recognised nutritional guidelines for older people.  The menu follows summer and winter patterns and has been reviewed by a qualified dietitian within the last two years.  There were no recommendations made at that time.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Ministry of Primary Industries and expires 29 June 2019. Food temperatures, including for high risk items, are monitored appropriately and recorded as part of the plan. The cook has undertaken a safe food handling qualification, with care staff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Personal food and/or cultural food preferences, any special diets and modified texture requirements are made known to kitchen and care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residents’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There is a clause in the access agreement related to when a resident’s placement can be terminated.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pain scale, falls risk, skin integrity, nutritional screening and a depression scale as a means to identify any deficits and to inform care planning. The sample of care plans reviewed had an integrated range of resident-related information.  All residents have current interRAI assessments completed by the one trained interRAI assessor on site who is the nurse manager/registered nurse.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client centred support needs of residents of all ages,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efficient.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an activity co-ordinator who is a trained diversional therapist holding the national Certificate in Diversional Therapy.  The residents are supported Monday to Friday 9.00 am to 5.00 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of all ages and include ongoing interaction and participation within the community and the support of cultural and spiritual beliefs. The resident’s activity needs are evaluated monthly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 normal community activities. Individual, group activities and regular events are offered. Residents and families/whānau are involved in evaluating and improving the programme through residents’ meetings, satisfaction surveys and day to day discussions. Residents interviewed confirmed they find the programme interactive and fun.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include multidisciplinary reviews of residents where family are also invited to attend.  Two monthly reconciliation of medication charts also occur and are completed by the nurse manager and pharmacist (see criterion 1.3.12.1).   Where progress is different from expected, the service responds by initiating changes to the plan of care. Examples of short-term care plans being consistently reviewed, and progress evaluated as clinically indicated were noted for risk of falls, infections, wounds and interventions to support two residents returning from having had surgery/a procedure.  When necessary, and for unresolved problems, long term care plans are added to and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two ‘house doctors’, residents may choose to use another medical practitioner.  If the need for other non-urgent services are indicated or requested, the GP or nurse manager sends a referral to seek specialist input.  Copies of referrals were sighted in residents’ files, including to the mental health services for older persons service.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Staff who handle chemicals have undertaken safe chemical handling training.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with an expiry date 15 June 2019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owner/manager has replaced the flooring including updating the bathroom flooring with non-slip vinyl. Soft furnishings have been replaced to ensure infection control standards are met. There is a documented plan for continued upgrading of residents’ bedrooms. The testing and tagging of electrical equipment (September 2018) and calibration of bio medical equipment (April 2018) was current as confirmed in documentation reviewed, interviews with management and observation of the environment.  The environment was hazard free, residents were safe and independence was promoted.</w:t>
            </w:r>
          </w:p>
          <w:p w:rsidR="00EB7645" w:rsidRPr="00BE00C7" w:rsidP="00BE00C7">
            <w:pPr>
              <w:pStyle w:val="OutcomeDescription"/>
              <w:spacing w:before="120" w:after="120"/>
              <w:rPr>
                <w:rFonts w:cs="Arial"/>
                <w:b w:val="0"/>
                <w:lang w:eastAsia="en-NZ"/>
              </w:rPr>
            </w:pPr>
            <w:r w:rsidRPr="00BE00C7">
              <w:rPr>
                <w:rFonts w:cs="Arial"/>
                <w:b w:val="0"/>
                <w:lang w:eastAsia="en-NZ"/>
              </w:rPr>
              <w:t>External areas were safely maintained and are appropriate to the resident groups and setting.  There are multiply doors to access outdoor areas with seating and shaded areas which were used by many residents on the days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confirmed that any repairs or maintenance required, are appropriately actioned by management and that they were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This includes one bedroom which has full ensuite facilities. Appropriately secured and approved handrails are provided in the toilet/shower areas, and other equipment/accessories are available to promote residents’ independence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There are two bedrooms which are large enough to have two occupants, but all bedrooms were being used as single occupancy at the time of audit. The nurse manager confirmed that should a bedroom be shared approval would be sought from the resident and/or family.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room to store mobility aids, wheel chairs and mobility scooters. Staff and residents reported the adequacy of bedrooms. Residents interviewed confirmed they are very happy with their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There are two spacious lounge areas with a separate dining area. All areas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Dedicated staff undertake laundry and cleaning seven days a week. The staff member interviewed on the day of audit demonstrated a sound knowledge of the laundry processes, dirty/clean flow, handling of soiled linen and safe chemical handling.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staff and the laundry/cleaning staff have received appropriate safe chemical handling training. A daily checklist for all cleaning duties undertaken is signed off by the staff member and reviewed by the nurse manager. The facility looks and smells clean.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processes are monitored through observation and the internal audit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Civil defence supplies are checked monthly by the nurse manager to ensure they remain in-date. The current fire evacuation plan was approved by the New Zealand Fire Service in June 2000. A trial evacuation takes place six-monthly with a copy sent to the New Zealand Fire Service, the most recent being on 24 September 2018 with no follow up required.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and gas BBQ’s were sighted and meet the requirements for the 36 residents. There is bottled water stored at the facility as well as a large outdoor water storage tank. Emergency lighting is regularly tested to meet the requirements of the building warrant of fitness.</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The nurse manager, residents and families reported staff respond promptly to call bells. The time to respond to call bells is asked about at each residents’ meeting and no negative comments have been made.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undertake nightly checks of doors and windows and confirmed they have no concerns around the security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and opening external windows. Electric heating is provided throughout the facility with gas heating in the front lounge and dining area. There are wall mounted electric heaters in each resident’s bedroom.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 the risk of infection to residents, staff and visitors.  The programme is guided by a comprehensive and current infection control manual, with input from the gerontology clinical nurse specialist as required.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manager/registered nurse is the designated IPC coordinator, whose role and responsibilities are defined in a job description. Infection control matters, including surveillance results, are reported monthly to the director, and tabled at the monthly full staff meeting and quality/risk committee meeting.  This committee includes the director and nurse manager.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and has been in this role at the facility since December 2017.  She has undertaken regular training in infection prevention and control and attended relevant study days, as verified in training records sighted.  Additional support and information is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coordinator confirmed the availability of resources to support the programme and any outbreak of an infection.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accepted good practice.  Policies were last reviewed in January 2018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urinary tract infection, respiratory tract infection, skin, wound, eye, gastro enteritis and other infections.  The IPC coordinator reviews all reported infections, and these are documented.  New infections and any required management plan are discussed at handover, to ensure early intervention occurs and short-term care plans are developed.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Trends are identified from the past year and this is reported by the IPC coordinator and reported to the director and all other staff.  Twenty-two (22) residents and nine staff in April of 2018 had the flu vaccine.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had a total of nine infections since January 2018 through to and including September 2018.  It is noted that the facility did not have any infections for the month of January and May 2018.  One resident has been identified with four of those nine infections due to co-morbidities.   The residents’ files reviewed highlighted short term and long-term care planning to reduce and minimise the risk of infection, with specialist advice sought and recommendations implemented.   Care staff interviewed demonstrated knowledge of residents who have a higher risk of infections and the interventions required.  Data is not benchmarked.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It identifies that the service aims to be restraint free. The restraint register and staff meeting minutes sighted identified that the service is restraint free and that no restraint has been used since the new owner has been in place. (December 2017). The restraint coordinator (nurse manager) presents restraint management education and challenging behaviour management for all new staff as part of the orientation process and ongoing, at least annually, as part of the in-service education programme. The restraint coordinator would provide support and oversight for enabler and restraint management in the facility should it be implemented. They have a very clear understanding of their role and responsibilities as restraint coordinator.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states that restraint is used as a last resort when all alternatives have been explored and that enablers shall be voluntary and the least restrictive option to meet the needs of the resident with the intention of promoting or maintaining resident’s independence and safety.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2"/>
        <w:gridCol w:w="1280"/>
        <w:gridCol w:w="7895"/>
        <w:gridCol w:w="286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January 2018, it was identified that the residents’ medication files did not meet best medication practice and guidelines thus the risk of a medication error increased.  Of the 18 medication charts reviewed not all charts had photo identification, allergy status had not been acknowledged, eight medication charts did not show evidence of a three-monthly GP review and one medication chart was identified to have a medication dosage discrepancy between the GP and the mental health services.    A project was undertaken to reduce and minimise the risk of medication errors.  The nurse manager met with the pharmacist and a discussion was had with the two supporting GP’s.  As a result, the medication charts are now pharmacy generated.  The pharmacist and nurse manager meet two monthly and all residents’ medication charts are reconciled to ensure all medication requirements are meet.  This reconciliation process was initiated in April 2018.  For the months of July and September the reconciliation process has identified that all requirements have been meet and no corrective actions were required.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medicines management system is rated as continuous improvement following a project to improve medicines safety by supporting staff to reduce and minimise the risk of medication errors and ensure that the medication charts meet best practice and guidelines.  The two most recent reconciliation processes identified that all requirements have been meet and no corrective actions were required.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Alaama Care Limited - Turama House Rest Home</w:t>
    </w:r>
    <w:bookmarkEnd w:id="58"/>
    <w:r>
      <w:rPr>
        <w:rFonts w:cs="Arial"/>
        <w:sz w:val="16"/>
        <w:szCs w:val="20"/>
      </w:rPr>
      <w:tab/>
      <w:t xml:space="preserve">Date of Audit: </w:t>
    </w:r>
    <w:bookmarkStart w:id="59" w:name="AuditStartDate1"/>
    <w:r>
      <w:rPr>
        <w:rFonts w:cs="Arial"/>
        <w:sz w:val="16"/>
        <w:szCs w:val="20"/>
      </w:rPr>
      <w:t>4 October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