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Lansdowne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Lansdowne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September 2018</w:t>
      </w:r>
      <w:bookmarkEnd w:id="7"/>
      <w:r w:rsidRPr="009418D4">
        <w:rPr>
          <w:rFonts w:cs="Arial"/>
        </w:rPr>
        <w:tab/>
        <w:t xml:space="preserve">End date: </w:t>
      </w:r>
      <w:bookmarkStart w:id="8" w:name="AuditEndDate"/>
      <w:r w:rsidR="00A4268A">
        <w:rPr>
          <w:rFonts w:cs="Arial"/>
        </w:rPr>
        <w:t>25 September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Lansdowne is owned and operated by the CHT Healthcare Trust and cares for up to 95 residents requiring rest home or hospital level care.  On the day of the audit, there were 91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The service is overseen by a unit manager who is well qualified and experienced for the role and is supported by a clinical coordinator who has been in the role for nine months.  Residents, relatives and the GP interviewed spoke positively about the service provided.</w:t>
      </w:r>
    </w:p>
    <w:p w:rsidRPr="00A4268A">
      <w:pPr>
        <w:spacing w:before="240" w:line="276" w:lineRule="auto"/>
        <w:rPr>
          <w:rFonts w:eastAsia="Calibri"/>
        </w:rPr>
      </w:pPr>
      <w:r w:rsidRPr="00A4268A">
        <w:rPr>
          <w:rFonts w:eastAsia="Calibri"/>
        </w:rPr>
        <w:t>This audit has identified areas for improvement around informing staff of quality data and associated trends, implementation and sign-off of corrective action plans, attendance at education in-service training, timeframes for completion of documentation, interventions, aspects of medication management and restraint monitoring.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CHT Lansdowne functions in a way that complies with the Health and Disability Commissioner’s Code of Consumers’ Rights.  Staff strive to ensure that care is provided in a way that focuses on the individual, values residents' autonomy and maintains their privacy and choice.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unit manager is a registered nurse and is supported by an area manager, a clinical coordinator, registered nurses and care staff.  The quality and risk management programme includes a service philosophy, goals and an internal audit programme.  Quality activities are conducted with the aim of generating improvements in practice and service delivery.  Resident meetings are held, and residents and families are surveyed.  Health and safety policies, systems and processes are implemented to manage risk.  Incidents and accidents are reported and investigated.  An education and training programme for staff is documented.  Appropriate employment processes are adhered to and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There is information available for residents and families prior to entry to the service.  Residents are assessed prior to entry to the service.  A registered nurse is responsible for each stage of service provision at the facility.  Communication with family/whānau is documented.  Care plans are individually developed with resident and family/whānau involvement included where appropriate, and evaluated six monthly or more frequently when clinically indicated.  The interRAI and other risk assessment tools and monitoring forms are available to effectively assess the level of risk and support required for residents.  Activities are provided that are meaningful and ensure that the resident maintains involvement in the community.  Residents have a choice in their level of participation.  Activity care plans are documented for all residents and evaluated six monthly.  A medication management system is in place, and medication management policies are documented.  All staff have completed annual competencies for medication administration.  There are three monthly GP medication reviews.  The menu is designed by a dietitian with summer and winter menus.  Staff have completed food safety training.  Dietary requirements are provided where special needs are required.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and emergency evacuation plan.  Ongoing maintenance issues are addressed.  Chemicals are stored safely throughout the facility.  All bedrooms are single occupancy, most with a shared toilet, though there are a small number with their own ensuite.  There is sufficient space to allow the movement of residents around the facility using mobility aids.  There are a number of smaller lounge and dining areas throughout the facility.  The internal areas are able to be ventilated and heated.  The outdoor areas are safe and easily accessible.  Cleaning contractors and maintenance staff are providing appropriate services.  Staff have planned and implemented strategies for emergency management.  Emergency systems are in place in the event of a fire or external disaster.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CHT Lansdowne has restraint minimisation and safe practice policies and procedures in place.  The staff in-service training programme covers the topics of restraint minimisation and challenging behaviour management.  During this audit there was one resident using a restraint and three residents using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a registered nurse.  There is a suite of infection control policies and guidelines that meet infection control standards.  The infection control programme is reviewed annually.  Staff receive annual infection control education.  Surveillance is used to determine quality assurance activities and education needs for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91"/>
        <w:gridCol w:w="1280"/>
        <w:gridCol w:w="94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Services Consumers’ Rights (the Code) policy and procedure is being implemented.  Discussions with three managers (one area manager, one-unit manager, one clinical coordinator) and sixteen staff (seven healthcare assistants [HCA], three registered nurses [RNs], one enrolled nurse [EN, two activities coordinators, one kitchen manager, one maintenance staff, and one housekeeping staff) confirmed their familiarity with the Code with examples provided of how they apply the Code to their job role and responsibilities.  Interviews with twelve residents (four rest home and eight hospital) and ten relatives (three rest home and seven hospital) confirmed that the services being provided are in line with the Code.  Aspects of the Code is discussed during resident and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all ten files sampled, (three rest home [including one resident on respite and one resident on an ACC contract], and seven hospital including one younger person with a disability) general consent forms were signed on file.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files sampled of family/EPOA discussion with the GP for a medically indicated not for resuscitation status.  In all files sampled, there was an appropriately signed resuscitation plan.  Discussions with relatives demonstrated they are involved in the decision-making process, and in the planning of resident’s care.  Admission agreements had been signed and sighted for all the files seen.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 with advocacy information.  Advocate support is available if requested.  Interviews with staff, residents and relatives confirmed that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Staff interviewed reported that residents are encouraged to build and maintain relationships.  Community links are in place and include; (e.g., visits to the weekly Howick coffee club, a men’s group luncheon is provided weekly at the Howick Club, the Chinese cultural group, and the Mustang club).  On interview, all residents and relatives confirmed that they are encouraged to remain as independent as they are able, and that visiting can occur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 process.  Complaint forms are available at two entrances to the facility.  Information about the resident’s right to lodge a complaint is also provided during the resident’s entry to the service.  Interviews with residents and families reflected their understanding of the complaint process.  Staff interviews confirmed their understanding around the process for reporting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is maintained electronically using VCare with a hard copy folder containing all details relating to each complaint.  There have been nine complaints lodged in 2018 (year to date).  No complaints have been lodged through HDC or the DHB since their last audit.  All complaints have a noted acknowledgement, investigation, corrective actions (where required) and were documented as resolved.  Timeframes for responding to each complaint met HDC guidelines.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any issues are addressed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explaining the Code on display, and leaflets are available in the foyer of the facility.  The service is able to provide information in different languages and/or in large print if requested.  Written information explaining the Code is provided to next of kin or EPOA to read with the resident and discuss.  On entry to the service an RN, the clinical coordinator or the manager discusses the information pack with the resident and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that align with the requirements of the Privacy Act and Health Information Privacy Code.  Staff were observed respecting resident’s privacy and could describe how they maintain the residents’ privacy and respect the personal property of residents.  All residents interviewed stated their needs were being met.  Staff were able to describe how they implement policies around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every Sunday.  All residents and relatives interviewed indicated that resident’s spiritual needs are being met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to help meet the cultural needs of its residents.  There is a Māori health plan in place.  A Māori pastor regularly visits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staff confirmed that they are aware of the need to respond to cultural differences.  The activities programme incorporates Māori themes including (but not limited to); kiwiana and Māori language week (July 2018), cultural month (August 2018) and celebrating Matariki and Waitangi Day.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living at the facility who identified as Māori.  This resident was not available to be interviewed.  The resident’s ethnicity was identified in their care plan.  No specific cultural needs were identified in their care plan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its residents.  Brief information (e.g., ethnicity only) is gathered during the resident’s assessment to identify any cultural values and/or beliefs (link 1.3.5.2).  HCAs reported that they use sign language and translation cards that are provided by families to assist with communication for those residents who have difficulty understanding English.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relatives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reported that the staff were respectful.  Job descriptions include responsibilities of the position, ethics, advocacy and legal issues.  The orientation and employee agreement provided to new employees during their induction includes standards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Staffing policies cover pre-employment processes and the requirement for staff to attend orientation and ongoing in-service training (link 1.2.7.5).  A sample of returned resident satisfaction surveys reviewed reflected overall satisfaction with the services they receive (link 1.2.3.6).  Residents and relatives interviewed spoke positively about the care and support provided.  Health care assistants interviewed, confirmed their understanding of the principles of aged care and stated that they feel supported by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rest home level residents and seven hospital level residents have advanced care plans completed.  A GP visits the facility a minimum of twice per week and is available 24/7 on call.  A physiotherapist is onsite two days a week (9.00 am – 1.00 pm) and is involved in the falls prevention programme and manual handling training for staff.  Podiatry services are available every six weeks.  Links are in place with mental health services for older people.  Specialist support is also available for wound care, dietetics and speech and language pathology (e.g., swallowing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they were welcomed on entry and were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incidents/accidents forms were reviewed.  These completed electronic forms include a section to record family notification.  All ten forms indicated that family were informed.  Relatives interviewed confirmed that they are notified of any changes in their family member’s health status.  Staff could describe how to access interpreter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Lansdowne is owned and operated by CHT Healthcare Trust.  The service provides rest home and hospital level care for up to 95 residents.  All beds are dual-purpose beds.  On the day of the audit, there were 30 rest home and 61 hospital level residents.  This included three residents on short-term respite care (one hospital level interim DHB contract and two rest home level), one younger person with disabilities (YPD) contract (hospital level) and one resident funded by ACC (rest home level).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and CHT Lansdowne has developed annual business objectives that link to CHT strategic themes.  A quality and risk management programme is in place for the current year.  The unit manager’s performance plan measures her performance against these goals.  Strategic themes and actions to achieve them are regularly reviewed, evidenced in the quality/health and safety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and maintains an annual practicing certificate.  She has been working at this facility since 2008 and has been in her current role as unit manager for the past three years.  She is supported by a clinical coordinator/RN who has been working at the facility since 2012 and has been the clinical coordinator (permanent, full-time) since January 2018.  The unit manager is supported by an area manager/RN.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completed in excess of eight hours of professional development annually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unit manager, the area manager is in charge with support from the senior management team, the clinical coordinator and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programme is designed to monitor contractual and standards compliance.  Interviews with staff confirmed that they are involved in the quality and risk management programmes.  Staff interviews also confirmed that they are kept informed, but meeting minutes failed to reflect documented evidence of data being shared with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a national level with input from the facility staff every two years.  New/updated policies are sent from head office and are shared with staff in the quality/health and safety meetings.  New policies are also posted in the staff room for staff to read.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three-monthly.  A sample of residents are also surveyed every month regarding their level of satisfaction with the service, but data is not being collated for analysis purposes.  Instead, surveys are reviewed individually.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adverse events (e.g., complaints, falls, infections, pressure injuries) and an internal audit schedule is completed six-monthly.  Monthly and annual trending is completed.  Areas of non-compliance identified through the internal audit process identifies areas for improvements, however there was no evidence that corrective actions have been implemented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programme in place.  There are implemented risk management, and health and safety policies and procedures in place including accident and hazard management.  The health and safety representative interviewed has completed training through stage three.  Hazard identification forms are implemented.  Hazards are regularly reviewed, and all new staff and contractors are inducted to the health and safety programme.  Health and safety is a regular agenda item in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Accidents and incidents are completed electronically by the RN.  All 10 incident forms sighted confirmed that clinical follow up of residents is conducted by a registered nurse.  Neurological observations are initiated for all unwitnessed falls.  Adverse events entered are collated electronically for the purpose of trending data.  Monthly meetings with staff failed to indicate that results were discussed (link 1.2.3.6).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unit manager confirmed that there is an awareness of the requirement to notify relevant authorities in relation to essential notifications.  There is evidence of DHB notification following a respiratory outbreak in September 2018.  A section 31 report was also completed earlier in 2018 for an ACC adverse event involving a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A copy of practising certificates is maintained.  Eight staff files that were reviewed (five healthcare assistants (HCAs), two RNs, one clinical coordinator/RN) evidenced that interviews, police vetting, and reference checks were completed.  The service has a comprehensive orientation programme in place that provides new staff with relevant information for safe work practice.  Orientation had been completed in all staff files reviewed.  Annual staff appraisals were evident in all staff files reviewed for staff who had been employed for one year or longer.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in-service education programme.  Healthcare assistants (HCAs) are strongly encouraged to complete the Careerforce aged care education programme.  The unit manager and registered nurses are able to attend external training including sessions provided by the local DHB.  Attendance at in-service training reflects low numbers of staff attending mandatory in-services.</w:t>
            </w:r>
          </w:p>
          <w:p w:rsidR="00EB7645" w:rsidRPr="00BE00C7" w:rsidP="00BE00C7">
            <w:pPr>
              <w:pStyle w:val="OutcomeDescription"/>
              <w:spacing w:before="120" w:after="120"/>
              <w:rPr>
                <w:rFonts w:cs="Arial"/>
                <w:b w:val="0"/>
                <w:lang w:eastAsia="en-NZ"/>
              </w:rPr>
            </w:pPr>
            <w:r w:rsidRPr="00BE00C7">
              <w:rPr>
                <w:rFonts w:cs="Arial"/>
                <w:b w:val="0"/>
                <w:lang w:eastAsia="en-NZ"/>
              </w:rPr>
              <w:t>There are 15 RN’s in total, eleven RNs have completed their interRAI training (including the clinical coordinator).  There is a minimum of one RN available 24/7 with a current CPR/first aid certification.  The driver of the van also holds a current CPR certificate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policy for CHT includes staff rationale and skill mix.  The unit manager and clinical coordinator are both RNs who are rostered Monday – Friday and share an on-call roster.  </w:t>
            </w:r>
          </w:p>
          <w:p w:rsidR="00EB7645" w:rsidRPr="00BE00C7" w:rsidP="00BE00C7">
            <w:pPr>
              <w:pStyle w:val="OutcomeDescription"/>
              <w:spacing w:before="120" w:after="120"/>
              <w:rPr>
                <w:rFonts w:cs="Arial"/>
                <w:b w:val="0"/>
                <w:lang w:eastAsia="en-NZ"/>
              </w:rPr>
            </w:pPr>
            <w:r w:rsidRPr="00BE00C7">
              <w:rPr>
                <w:rFonts w:cs="Arial"/>
                <w:b w:val="0"/>
                <w:lang w:eastAsia="en-NZ"/>
              </w:rPr>
              <w:t>The two rest home wings (eight hospital and thirty rest home level residents) are staffed with one long and one short shift RN on the AM shift and one RN on the PM shift.  One RN covers the entire facility during the night shift.  Four HCAs are rostered on the AM shift (three long and one short shift), three HCAs are rostered on the PM shift (two long and one short), and one HCA is rostered to the rest home on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three hospital wings with 53 residents (all hospital level) are staffed with three RNs on the AM shift (two long and one short shift), and two RNs on the PM shift (one long and one short shift).  Eleven HCAs cover the AM shift (six long and five short), seven HCAs cover the PM shift (five long and two short) and three HCAs cover the hospital wings during the night shift.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Laundry, cleaning and kitchen services are outsourced.  Activities staff are rostered seven days a week for both the rest home and the hospital level residents.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material containing sensitive resident information.  Entries in records are legible, dated and signed by the relevant HCA or registered nurse.  Individual resident files demonstrate service integration.  This includes medical care interventions and records of the activities coordinators.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The service has specific information available for residents/families/whānau at entry and it includes associated information such as the Code of rights, advocacy and complaints procedure.    </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admission booklet available to all residents/family/whānau on enquiry or admission.  The information includes examples of how services can be accessed that are not included in the agreement.  Relatives agreed that the service was proactive with providing information.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Signed admission agreements were sighted.  The admission agreement form in use aligns with the requirements of the contracts.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interviewed confirmed they were kept well informed about all matters pertaining to residents, especially if there is a change in the resident's condition.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appropriately stored in secure cupboards and medication trolleys.  Not all eyedrops in use evidenced opening dates.  Medication administration practice complies with the medication management policy for the medication rounds sighted.  Medication prescribed is signed as administered on the signing chart.  Registered nurses and senior healthcare assistants administer medicines.  All staff that administer medication are competent and have received medication management training.  The facility uses a robotic pack medication-management system for the packaging of all tablets.  The RN on duty reconciles the delivery and documents this.  Medical practitioners write medication charts correctly and there was evidence of three monthly reviews by the GP.  Two residents self-administer medicines from a locked draw in their rooms and both have a current competency assessment.   There are no vaccines stored on site and controlled medications are checked weekly.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contracted to a food service company.  There is a fully functional kitchen and all food is cooked on site by contracted kitchen staff.  There is a food-services manual in place to guide staff.  A resident nutritional profile is developed for each resident on admission and is provided to the kitchen staff.  This document is reviewed at least six monthly as part of the care plan review.  The kitchen is able to meet the needs of residents who require special diets and the kitchen manager works closely with the RNs on duty.  There is a registered food control plan last verified July 2018.  The kitchen staff have completed food safety training.  The kitchen manager and cooks follow a rotating seasonal menu, which has been reviewed recently by a dietitian.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service records the reason (no bed availability or unable to meet the acuity/level of care) for declining service entry to potential residents and communicates this to potential residents/family/whānau.  Potential residents would be referred back to the referring agency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admitted with a care needs level assessment completed by the needs assessment and service coordination team prior to admission.  </w:t>
            </w:r>
          </w:p>
          <w:p w:rsidR="00EB7645" w:rsidRPr="00BE00C7" w:rsidP="00BE00C7">
            <w:pPr>
              <w:pStyle w:val="OutcomeDescription"/>
              <w:spacing w:before="120" w:after="120"/>
              <w:rPr>
                <w:rFonts w:cs="Arial"/>
                <w:b w:val="0"/>
                <w:lang w:eastAsia="en-NZ"/>
              </w:rPr>
            </w:pPr>
            <w:r w:rsidRPr="00BE00C7">
              <w:rPr>
                <w:rFonts w:cs="Arial"/>
                <w:b w:val="0"/>
                <w:lang w:eastAsia="en-NZ"/>
              </w:rPr>
              <w:t>The interRAI assessment tool has been used, but not within the required timeframes for all residents (link 1.3.3.3).  InterRAI assessments reviewed linked to the long-term care plans reviewed.  Additional paper- based risk assessment tools are completed on admission.  Risk assessments reviewed were evaluated six monthly or when there was a change in the residents’ health condition.  The respite file had a short stay assessment completed.  Behaviour assessments are completed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 assessments were evidenced as completed with ongoing monitoring recorded, for residents requiring administration of controlled medication as part of prescribed pain management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family/whānau are involved in the care planning and review process.  Short- term care plans were utilised for changes in health status, were evaluated on a regular basis and signed-off as resolved or transferred to the long-term care plan.  There was evidence of service integration with documented input from a range of specialist care professionals.  Not all care plans reviewed had interventions documented to address all assessed needs.  One respite resident file reviewed included an initial assessment and a short-term care plan, however the plan did not include interventions for all assessed needs.  The younger person’s care plan identified specific goals around activities and community involvement.  Resident-centred goals were reviewed at the multi-disciplinary review (MDR) meetings with the residents.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follow the care plan and report progress against the care plan each shift.  If external nursing or allied health advice is required the RNs will initiate a referral (e.g., to the district nurse).  If external medical advice is required, this will be actioned by the GP.  Staff have access to sufficient medical supplies (e.g., dressings).  Sufficient continence products are available and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clinical coordinator and healthcare assistants demonstrated an understanding of the individualised needs of residents.  Food and fluid charts are completed as required, however not all interventions were documented around current implemented care (link 1.3.5.2).  There was evidence of pressure injury prevention interventions such as turning charts, food and fluid charts, regular monitoring of bowels and weight management.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monitoring and wound management plans are in place for 44 wounds including 33 skin tears, four skin conditions, two surgical wounds and five pressure injuries (two grade-two and three grade-one.  All PI’s are facility acquired).  All wounds have been reviewed in appropriate timeframes and all documentation has been fully completed.</w:t>
            </w:r>
          </w:p>
          <w:p w:rsidR="00EB7645" w:rsidRPr="00BE00C7" w:rsidP="00BE00C7">
            <w:pPr>
              <w:pStyle w:val="OutcomeDescription"/>
              <w:spacing w:before="120" w:after="120"/>
              <w:rPr>
                <w:rFonts w:cs="Arial"/>
                <w:b w:val="0"/>
                <w:lang w:eastAsia="en-NZ"/>
              </w:rPr>
            </w:pPr>
            <w:r w:rsidRPr="00BE00C7">
              <w:rPr>
                <w:rFonts w:cs="Arial"/>
                <w:b w:val="0"/>
                <w:lang w:eastAsia="en-NZ"/>
              </w:rPr>
              <w:t>The RNs have access to specialist nursing wound care management advice through the district nursing service.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had training on pressure injury prevention.  Sufficient pressure reducing mattresses, air mattresses and roho cushions are available.  Residents on regular position changes are monitored.  A specific pressure injury review is completed for all residents with pressure injuries.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Lansdowne home and hospital employs three activities coordinators (two full-time and one part-time).  Activities are across 7 days.  One activity coordinator is undertaking the DT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includes residents being involved in the community with social clubs, churches and schools and kindergarten.  On or soon after admission, a social history is taken and information from this is added into the activities plan as part of the care plan developed by the RN’s.  Reviews are conducted six monthly as part of the care plan review/evaluation.  A record is kept of individual resident’s activities and progress notes completed.  The resident/family/EPOA as appropriate is involved in the development of the activity plan.  There is a wide range of activities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free to choose whether to participate in the group activities programme or their individual plan and participation is monitored.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commented positively on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had been evaluated six monthly for five of the ten resident files reviewed.  Four residents had not been at the service six months and one was a respite resident.  Written evaluations identified if the desired goals had been met or unmet.   The GP reviews the residents at least three monthly or earlier if required.   On-going nursing evaluations occur as indicated and are documented within the progress notes.  Short-term care plans are evaluated and resolved or added to the long-term care plan if the problem is ongoing as sighted in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contains documented policies and procedures for the safe and appropriate storage and disposal of waste and hazardous substances.  The health and safety manual include a policy around safe storage and handling of chemicals.  Waste is appropriately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secured in designated locked cupboards.  Chemicals are labelled, and safety datasheets were available in the laundry and sluice areas.  Safe chemical-handling training has been provided (link 1.2.7.5).  Personal protective equipment is available, and staff were observed wearing protective clothing while carrying out their duties.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4 March 2019.  A preventative building maintenance programme ensures that all legislation is complied with.  A maintenance-work notification book is available for staff to communicate with maintenance staff, of any issues and areas that require attention.  Hot water temperatures are monitored and recorded monthly.  The environment and buildings are well maintained.  The maintenance person is available afterhours, if required.  Electrical equipment is tested and tagged.  All medical equipment has been calibrated and checked.  The facility van is registered and has a current warrant of fitness.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within each wing are of sufficient size to allow residents to pass each other safely.  There is sufficient space to allow the safe use of mobility equipment.  Safety rails are appropriately located.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Lansdowne provides sufficient equipment to meet the needs of the residents including, (but not limited to); standing and sling hoists, roll on scales, sensor mats, syringe drivers, slide sheets, high low beds shower chairs and wheelchairs.  </w:t>
            </w:r>
          </w:p>
          <w:p w:rsidR="00EB7645" w:rsidRPr="00BE00C7" w:rsidP="00BE00C7">
            <w:pPr>
              <w:pStyle w:val="OutcomeDescription"/>
              <w:spacing w:before="120" w:after="120"/>
              <w:rPr>
                <w:rFonts w:cs="Arial"/>
                <w:b w:val="0"/>
                <w:lang w:eastAsia="en-NZ"/>
              </w:rPr>
            </w:pPr>
            <w:r w:rsidRPr="00BE00C7">
              <w:rPr>
                <w:rFonts w:cs="Arial"/>
                <w:b w:val="0"/>
                <w:lang w:eastAsia="en-NZ"/>
              </w:rPr>
              <w:t>There are outside courtyard areas with seating, tables and shaded areas that are easily accessible.  Pathways, seating and grounds appear well maintained.  All hazards have been identified in the hazard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Several bedrooms have their own ensuites.  Toilets and showers have privacy systems in place.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include the main lounge, several smaller lounges and four separate dining areas.  The communal areas are easily and safely accessible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Contracted cleaning staff clean the facility.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All laundry is done off site except kitchen personal items.  Residents and relatives interviewed advised that they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management plans in place to ensure health, civil defence and other emergencies are included.  Six monthly fire evacuation practice documentation was sighted.  A contracted service provides checking of all facility equipment including fire equipment.  Fire training and security situations are part of orientation of new staff and include competency assessments.  Emergency equipment is available at the facility.  There are adequate supplies in the event of a civil defence emergency including food, water, blankets and gas cooking.  Short-term back upback-up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Lansdowne has an established infection control programme.  The infection control programme, its content and detail, is appropriate for the size, complexity and degree of risk associated with the service.  A registered nurse is the designated infection control coordinator with support from the unit manager, the clinical coordinator and all staff as part of the quality management committee (infection control team).  Minutes are available for staff.  Spot audits have been conducted and include hand hygiene and infection control practices.  Education is provided for all new staff on orientation.  The infection control programme has been reviewed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at CHT Lansdowne is the designated infection control (IC) coordinator.  There are adequate resources to implement the infection control programme for the size and complexity of the organisation.  The IC nurse and IC team (comprising all staff) has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to for the size and complexity of the service.  The infection control manual outlines a comprehensive range of policies, standards and guidelines and includes defining roles, responsibilities and oversight, the infection control team and training and education of staff.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(link 1.2.7.5).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quality meetings.  If there is an emergent issue, it is acted upon in a timely manner.  Reports are easily accessible to the unit manager.  There has been one respiratory outbreak since the previous audit.  The outbreak was monitored, a log of infected residents and staff maintained.  The GP was kept informed throughout and. Public Health was notified.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was one hospital level resident with restraint (bedrail) and three hospital level residents with an enabler (two seatbelts and one bedrail).  Assessments, consent processes, and reviews for restraint and enabler use are the same.  Monitoring is established for both the restraint and enablers but is not always completed as per the monitoring schedules (link 2.2.3.4).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staff records reviewed evidence guidance has been given on restraint minimisation and safe practice (RMSP), enabler usage and prevention and/or de-escalation techniques.  Staff education on RMSP/enablers has been provided (link to 1.2.7.5).  Restraint meetings are scheduled two-weekly.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enrolled nurse is the restraint coordinator.  Assessment and approval processes for restraint use include the restraint coordinator, registered nurses, resident, family/EPOA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responsible for completing a restraint assessment for residents who require either restraint or enabler interventions.  Two files reviewed (one restraint and one enabler) demonstrated that restraint/enabler assessments were completed by registered nursing staff in partnership with the family/whānau.  The resident gave written consent for the use of the enabler (lapbelt in powerchair) and the family provided written consent for the use of a restraint (bedrails).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policies and procedures indicate that restraint is put in place only where it is clinically indicated and justified.  An assessment process is completed for all restraints and enablers.  The two files reviewed (one restraint, one enabler) had completed assessment forms and care plans that reflected the use of restraint and associated risks.  Monitoring forms included regular two hourly monitoring for the restraint and four hourly monitoring for the enabler.  Monitoring forms did not reflect consistent evidence of being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and enablers register, which is updated each month.  The restraint coordinator reported that she is unaware of any adverse events that have resulted from the use of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six months at a minimum.  Evaluation timeframes are determined by policy and risk levels.  In the files reviewed, evaluations had been completed with the resident, family/whānau and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and facility are proactive in minimising restraint while also keeping residents safe.  The restraint programme is reviewed annually by the CHT head office.  A restraint education and training programme is in place (link 1.2.7.5) that is regularly reviewed at head office.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427"/>
        <w:gridCol w:w="1280"/>
        <w:gridCol w:w="3038"/>
        <w:gridCol w:w="3644"/>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are completed by an area manager, every six months.  Quality improvement data is collected and collated.  Missing was evidence of communicating results to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Meeting minutes (e.g., quality/health and safety meetings, RN meetings) failed to reflect evidence of quality data being communicated to staff (e.g., adverse event data, internal audit results and resident surveys).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quality and risk management results (e.g., adverse event data) are communicated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process for developing corrective action plans has been implemented around the six-monthly internal audits, but there was a lack of documented evidence to reflect their implementation and sign-off.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that were initiated (e.g., six monthly internal audit findings) failed to indicate evidence of evaluation with sign-off.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documentation supports evidence of corrective actions being implemented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system is in place to provide ongoing education for the staff.  Two in-services in 2018 were offered two times (incident/accident reporting and managing challenging behaviours) and the remaining in-services were provided one time only.  Attendance rates were below 50% for a selection of mandatory in-services.  Staff interviews confirmed that it can be difficult to attend the in-services with a range of reasons given.  Plans are in place to increase uptake by offering online training with one online programme offered at the time of the audit (food safety).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Attendance at in-service training over the past two years reflects very low attendance rates (less than 50%) at a selection of mandatory training (e.g., restraint minimisation, elder abuse and code of rights, accidents/incident reporting, cultural safety, health and safety/hazard identification).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meet all CHT mandatory training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securely according to the policy and procedure.  Six of eight eyedrops in use had opening dates documented on the bottle.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eyedrops in current use did not have an opening date documented on the container.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eyedrops include document an opening date.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files were reviewed including seven hospital residents and three rest home residents.  Seven of these residents had been admitted in the last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of seven hospital residents did not have an initial assessment and care plan completed within 48 hours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 Two of seven hospital residents did not have an interRAI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(iii) Four of seven hospital residents did not have a long-term care plan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(iv) Subsequent interRAIs were not completed within the six-month timeframe for one hospital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new residents have admission assessment and care plans completed within 48 hours.</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admitted on an ARCC long-term contract have an interRAI assessment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(iii) Ensure all permanent residents have a long- term care plan completed within 21 days.</w:t>
            </w:r>
          </w:p>
          <w:p w:rsidR="00EB7645" w:rsidRPr="00BE00C7" w:rsidP="00BE00C7">
            <w:pPr>
              <w:pStyle w:val="OutcomeDescription"/>
              <w:spacing w:before="120" w:after="120"/>
              <w:rPr>
                <w:rFonts w:cs="Arial"/>
                <w:b w:val="0"/>
                <w:lang w:eastAsia="en-NZ"/>
              </w:rPr>
            </w:pPr>
            <w:r w:rsidRPr="00BE00C7">
              <w:rPr>
                <w:rFonts w:cs="Arial"/>
                <w:b w:val="0"/>
                <w:lang w:eastAsia="en-NZ"/>
              </w:rPr>
              <w:t>(iv) Ensure all permanent residents have an interRAI assessment completed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is responsible for completing all necessary assessments and then using this information to document the care plan.  Nurses undertake a risk assessment for all residents; however, interventions were not documented for all assessed care needs.  Three of ten care plans described the support and interventions required to meet all the resident’s goals and assessed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had not been fully documented to address the following assessed needs and risks; (i) One respite rest home resident with an indwelling catheter, minimal English and on regular food supplements; (ii) One recent hospital admission assessed as a high falls risk and at high risk of pressure injury; (iii) One hospital resident with mood changes and urinary incontinence; (iv) One rest home resident on warfarin medication and on food and fluid monitoring (noting this was being completed by staff); (v) Two hospital residents with diabetes requiring insulin; (vi) three hospital residents with cognitive impairment, and (vii) cultural needs for one hospital (YPD)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care plans fully document all interventions to address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2.2.3.4</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documented in sufficient detail to provide an accurate account of the indication for use, intervention, duration, its outcome, and shall include but is not limited to:</w:t>
              <w:br/>
              <w:t>(a) Details of the reasons for initiating the restraint, including the desired outcome;</w:t>
              <w:br/>
              <w:t>(b) Details of alternative interventions (including de-escalation techniques where applicable) that were attempted or considered prior to the use of restraint;</w:t>
              <w:br/>
              <w:t>(c) Details of any advocacy/support offered, provided or facilitated;</w:t>
              <w:br/>
              <w:t>(d) The outcome of the restraint;</w:t>
              <w:br/>
              <w:t>(e) Any injury to any person as a result of the use of restraint;</w:t>
              <w:br/>
              <w:t>(f) Observations and monitoring of the consumer during the restraint;</w:t>
              <w:br/>
              <w:t>(g) Comments resulting from the evaluation of the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were sighted for both residents (one restraint and one enabler).  There were gaps in the monitoring charts that indicated residents were not checked as per their monitoring schedules.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forms reviewed did not reflect consistent evidence of two hourly monitoring of the restraint and four hourly monitoring of the enabler.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monitoring forms indicate residents are checked as per the monitoring schedules.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Lansdowne Hospital and Rest Home</w:t>
    </w:r>
    <w:bookmarkEnd w:id="58"/>
    <w:r>
      <w:rPr>
        <w:rFonts w:cs="Arial"/>
        <w:sz w:val="16"/>
        <w:szCs w:val="20"/>
      </w:rPr>
      <w:tab/>
      <w:t xml:space="preserve">Date of Audit: </w:t>
    </w:r>
    <w:bookmarkStart w:id="59" w:name="AuditStartDate1"/>
    <w:r>
      <w:rPr>
        <w:rFonts w:cs="Arial"/>
        <w:sz w:val="16"/>
        <w:szCs w:val="20"/>
      </w:rPr>
      <w:t>24 September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