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Metlifecare Limited - Highlands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Metlifecare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Highlands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 November 2018</w:t>
      </w:r>
      <w:bookmarkEnd w:id="7"/>
      <w:r w:rsidRPr="009418D4">
        <w:rPr>
          <w:rFonts w:cs="Arial"/>
        </w:rPr>
        <w:tab/>
        <w:t xml:space="preserve">End date: </w:t>
      </w:r>
      <w:bookmarkStart w:id="8" w:name="AuditEndDate"/>
      <w:r w:rsidR="00A4268A">
        <w:rPr>
          <w:rFonts w:cs="Arial"/>
        </w:rPr>
        <w:t>2 November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Metlifecare Limited - Highlands Hospital provides rest home and hospital level care for up to 41 residents. There is a village attached which has five apartments that are approved for rest home level care residents. To date, these five apartments have not been occupied by rest home level care residents and are not included in the number of beds reviewed. The service is operated by Metlifecare Limited and is managed by a nurse manager who reports to the village manager. The nurse manager is supported by a recently employed senior nurse who oversees clinical care provision. </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two contracted allied health providers and a general practitioner. </w:t>
      </w:r>
    </w:p>
    <w:p w:rsidRPr="00A4268A">
      <w:pPr>
        <w:spacing w:before="240" w:line="276" w:lineRule="auto"/>
        <w:rPr>
          <w:rFonts w:eastAsia="Calibri"/>
        </w:rPr>
      </w:pPr>
      <w:r w:rsidRPr="00A4268A">
        <w:rPr>
          <w:rFonts w:eastAsia="Calibri"/>
        </w:rPr>
        <w:t xml:space="preserve">This audit identified four areas requiring improvements relating to medication management, activities, quality and risk evaluation documentation and call bell response times.  Two previous areas requiring improvement relating to food services and human resources which had not been closed off prior to audit, as the due date was December 2018, have been fully addressed by the service and are now closed.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There were no residents at the time of audit who affiliate with their Maori culture.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activities and maintains their links with the community. </w:t>
      </w:r>
    </w:p>
    <w:p w:rsidRPr="00A4268A" w:rsidP="00621629">
      <w:pPr>
        <w:spacing w:before="240" w:line="276" w:lineRule="auto"/>
        <w:rPr>
          <w:rFonts w:eastAsia="Calibri"/>
        </w:rPr>
      </w:pPr>
      <w:r w:rsidRPr="00A4268A">
        <w:rPr>
          <w:rFonts w:eastAsia="Calibri"/>
        </w:rPr>
        <w:t>The service has a medicines management policy and medicines are administered by staff who have an up to date medication competency.</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and bio medical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One enabler was in use. Use of enablers is voluntary for the safety of residents in response to individual requests. No restraints were in use at the time of audit.  A comprehensive assessment, approval and monitoring process with regular reviews occurs.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41</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45"/>
        <w:gridCol w:w="1280"/>
        <w:gridCol w:w="931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 that informed consent has been gained appropriately using the organisation’s standard consent form. Advance care planning, establishing and documenting enduring power of attorney requirements and processes for residents unable to consent is defined and documented, as relevant, in the resident’s record.  The senior registered nurse interviewed stated that there is currently one resident with an advance directive care plan in place.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The noticeboard in the lounge provides the names and contact details for the resident’s advocate, kaumatua and pacific islander advocate based in the community, and support person for spiritual guidance.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shopping trips, activities, and entertainment.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unrestricted visiting hours and encourages visits from residents’ family and friends. Family members interviewed stated they felt welcome when they visited and comfortable in their dealings with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Forms are available in the lounge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one complaint had been received since the previous audit in May 2018 and that actions taken, through to an agreed resolution, were documented and completed within the timeframes.  An action plan showed any required follow up and improvements have been made where possible. The nurse manager is responsible for complaints management and follow up. Complaints are also recorded electronically and reviewed by the clinical quality and risk manager for the group.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report being made aware of the Code and the Nationwide Health and Disability Advocacy Service (Advocacy Service) as part of the admission information provided including the admission agreement and discussion with staff. The Code is displayed in the main foyer and lounge areas together with information on advocacy services, how to make a complaint and feedback forms.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maintain privacy throughout the audit.  All residents have a private room.  Residents are encouraged to maintain their independence by attending community activities, participation in clubs of their choosing.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in the service who identify as Māori to integrate their cultural values and beliefs.  The principles of the Treaty of Waitangi are incorporated into day to day practice, as is the importance of whānau.  The senior registered nurse interviewed reported that there were no residents who affiliated with their Maori culture at the time of audit, and there were no barriers in supporting residents who are admitted to the facility who identify as Māori. There is no specific Maori health plan; however, all values and beliefs of the resident would be integrated throughout the resident’s long term care plans.  There is acknowledgement of the Te Whare Tapa Wha model with input from cultural advisers within the local community as required to help support and develop a Maori health care plan for the resident.   With the resident’s consent a referral form is completed and sent to the local rohe for ongoing support.  Guidance on tikanga best practice is available and is supported by staff who identify as Māori in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The resident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hospice/palliative care team, diabetes nurse specialist, wound care specialist, psychogeriatrician and mental health services for older persons,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knocking on residents’ doors before entering, day to day discussions and acknowledgement of families and friends visiting.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know how to access interpreter services, although reported this was rarely required to support the three residents who do not understand English due to the use of and regular visits of family members, communication cards, the use of an electronic translator device and the staff knowing the residents well.  There were two residents acknowledged with a significant sensory impairment and appropriate equipment and resources were sighted and highlighted in residents’ long-term care plans reviewed, for example, the use of a communication book, providing clear conversation and staff allowing time for the resident to respond, and support from external services, for example, speech language therapist.   </w:t>
            </w:r>
          </w:p>
          <w:p w:rsidR="00EB7645" w:rsidRPr="00BE00C7" w:rsidP="00BE00C7">
            <w:pPr>
              <w:pStyle w:val="OutcomeDescription"/>
              <w:spacing w:before="120" w:after="120"/>
              <w:rPr>
                <w:rFonts w:cs="Arial"/>
                <w:b w:val="0"/>
                <w:lang w:eastAsia="en-NZ"/>
              </w:rPr>
            </w:pPr>
            <w:r w:rsidRPr="00BE00C7">
              <w:rPr>
                <w:rFonts w:cs="Arial"/>
                <w:b w:val="0"/>
                <w:lang w:eastAsia="en-NZ"/>
              </w:rPr>
              <w:t>Each month an updated activities calendar is provided to each resident’s room.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direction and goals of the organisation. The documents described annual and longer term objectives and the associated operational plans. At facility level, set goals reflect the organisation’s strategic and business plans. A sample of quarterly reports to the organisation’s senior management team, who then report to the board of directors, showed adequate information to monitor performance. Reporting covers all aspects of service, including financial performance, quality data results, progress towards achieving set goals, complaints, staffing,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service is managed by a nurse manager who is a registered nurse with a current annual practising certificate and has been in the role for 10 months. The nurse manager has a direct reporting line to the village manager. Clinical care is overseen by a senior registered nurse. Responsibilities and accountabilities are defined in a job description and individual employment agreement.  The nurse manager confirmed knowledge of the sector, regulatory and reporting requirements and maintains currency through in-service education and off-site education, which includes attendance and training at Counties Manukau District Health Board meetings related to aged care, New Zealand Age Care Association conferences and leadership conferences.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Counties Manukau District Health Board (CMDHB) for respite care, medical conditions and palliative care. Contracts held are Age Related Residential Care (ARRC), Community Residential Respite Services and Long Term Support-Chronic Health Conditions Residential and Respite. The CMDHB also offer Highlands Hospital primary options for acute care (POAC) residents.  One POAC resident, seven rest home and 29 hospital residents were receiving services under the ARRC contract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nurse manager is absent, the senior registered nurse, with support from the clinical quality and risk manager and the village manager, carries out all the required duties under delegated authority. During absences of key clinical staff, the clinical management is overseen by the nurse manager who is experienced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resident and family satisfaction survey, clinical incidents including infections, falls, wounds and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senior management team meetings, registered nurse meetings and staff meetings. Staff reported their involvement in quality and risk management activities through audit activities and the implementation of corrective actions. Corrective actions are developed and implemented to address any shortfalls. Evaluation of the corrective actions put in place is not consistently documented to show outcomes.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satisfaction surveys are completed annually. The 2018 survey showed that the service gained an 85% overall satisfaction rating. A corrective action plan sighted showed that all topics that gained less than 85% have documented corrective actions. Staff meeting minutes identified that this had been discussed at the October 2018 meeting, but the nurse manager confirmed that the corrective actions have yet to be actioned.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described the processes for the identification, monitoring, review and reporting of risks and development of mitigation strategies.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to the nurse manager, who enters the data electronically onto a data base which is viewed by the clinical quality and risk manager. The resident’s family and the GP are notified of incidents and accidents as appropriate. Analysed information is shared with all staff as confirmed in staff meeting minutes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described essential notification reporting requirements, including for pressure injuries.  They advised there have been no notifications of significant events made to the Ministry of Health, since the previous audit. There have been no police investigations, coroner’s inquests, issues based audits or public health notifications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three-month period and then annually. All the staff files reviewed had completed orientation and processes. This was an area not closed off by the DHB prior to audit but has been fully addressed by the service to meet the requirements of the standard.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A staff member who is employed as a group educator is the internal assessor for the programme and also provides in-service education and helps to develop the training calendar. There are sufficient trained and competent registered nurses (five) who are maintaining their annual competency requirements to undertake interRAI assessments. Records reviewed demonstrated completion of the required training and completion of annual performance appraisals for interRAI.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members interviewed supported this. Staffing levels meet the interRAI acuity level report findings.  Observations and review of six-weeks of rosters confirmed adequate staff cover has been provided, with staff replaced in any unplanned absence.  At least one staff member on duty has a current first aid certificate and there is 24/7 RN coverage in the hospital.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and senior registered nurse work Monday to Friday and share the on-call component. There is dedicated cleaning staff seven days a week and laundry staff cover six days a week. An administration assistant works Monday to Friday along with a full-time maintenance person. A night porter, who covers night security for the whole facility including the village, seven nights a week. Kitchen staff are all employed by the village.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the NASC and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An example reviewed of a patient recently transferred to the local acute care facility showed communication between the facility, family and acute hospital setting and the required supporting documentation.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system for medicine management using an electronic system was observed on the day of audit. The staff observed demonstrated good knowledge and had a clear understanding of their roles and responsibilities related to each stage of medicine management; however, safe disposal of a used needle administered by a registered nurse did not occur on the day of audit.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The facility does not store vaccines on site.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met. The medication electronic device showed that for 16 residents their three-monthly GP review was not up to date.  The 16 residents’ files were reviewed, and evidence was sighted to show that the GP reviews were up to date and all the residents had been seen by the GP.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self-administering medications at the time of audit. Appropriate processes were in place to ensure this was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the village chef manager, three other chefs and a kitchen team, and was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The kitchen was recently audited by the Auckland Council and was awarded an A for excellent (100%) grade.  Registration was issued and expires July 2019.   Food temperatures, including for high risk items, are monitored appropriately and recorded as part of the plan. The chef manager and cooks have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The previous audit identified an area for an improvement to ensure that the kitchenette fridges stored food as per requirements and fridge temperatures are recorded and followed up if outside of recommended guidelines.  The corrective action is now addressed and observations at the time of audit and records were available to demonstrate this.</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The cook interviewed stated that they can manage all menus and different food diets for all residents.</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There is a copy of the day’s menu on each of the dining room tables and care staff were observed to read the menu to residents sitting at the table.   Residents were seen to be given sufficient time to eat their meal in an unhurried fashion and those requiring assistance had this provided with the option of residents having their meals in their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pain scale, falls risk, skin integrity, and nutritional screening, as a means to identify any deficits and to inform care planning. The sample of care plans reviewed had an integrated range of resident-related information.  All but three residents have current interRAI assessments completed by one of five trained interRAI assessors on site which includes the senior registered nurse.  Two residents have been admitted within the last five days and one resident has been admitted short term under the primary options for acute care (POAC).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Activity care plans do not always identify specific goals and interventions for residents (see criterion 1.3.7.1).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wound management and pressure injury care policy that was last reviewed in 2018.  At the time of audit, there were three residents with pressure injuries.  Residents wound care plans identified all interventions, equipment and resources required and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to residents was consistent with their needs, goals and the plan of care.  The attention to meeting a diverse range of resident’s individualised needs was evident in all areas of service provision, except in the case of documentation of activity care planning (Refer criterion 1.3.7.1).  The GP interviewed, verified that medical input is sought in a timely manner, that medical orders are followed, and care is good.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overseen by a trained occupational therapist.  The occupational therapist visits the facility five hours per week and is available by phone when required.  The residents are supported by a caregiver whom has taken on the interim role of activities co-ordinator as this role was being advertised at the time of audit.  The residents are supported Monday to Friday three hours per 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activities assessments are reviewed to help formulate an activities programme that is meaningful to the residents. Activities reflected residents’ goals, ordinary patterns of life and included normal community activities. Individual, group activities and regular events are offered.   Staff encourage all residents to attend activities in the main lounge area.  Residents who are independently mobile attend activities in the village, with two residents currently attending the weekly exercise and hydrotherapy sessions held by the contracted physiotherapist.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families/whānau are involved in evaluating and improving the programme through residents’ meetings and satisfaction surveys.  The resident satisfaction survey showed an increase in satisfaction from 69% in 2017 to 81% of residents satisfied or very satisfied with the programme.  Residents interviewed confirmed they find the programme appropriate; however, not all resident activity plans identify goals and interventions and/or evaluations.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short-term care plans being consistently reviewed, and progress evaluated as clinically indicated were noted for infections and wounds.  When necessary, and for unresolved problems, long term care plans are added to an updated.  Residents and families/whānau interviewed provided examples of involvement in evaluation of progress and any resulting changes. Residents’ activity care plans did not always document evaluations (see criterion 1.3.7.1).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‘house doctor’, residents may choose to use another medical practitioner. If the need for other non-urgent services are indicated or requested, the GP or RN sends a referral to seek specialist input.  Copies of referrals were sighted in residents’ files, including to the wound nurse specialist and dietician. The resident and the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09 March 2019)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was current as confirmed in documentation reviewed, interviews with maintenance personnel and observation of the environment.  Efforts are made to ensure the environment is hazard free, that residents are safe and independence is promoted.</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safely maintained and are appropriate to the resident groups and setting. The care facility is on the first floor and there are two lifts and stairs available for residents and visitor use to get to the ground floor.  The outdoor gardens are well set out with shaded seating areas throughout.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they know the processes they should follow if any repairs or maintenance is required, any requests are appropriately actioned. Documentation sighted confirmed this. Residents and family members interviewed stated they are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one bedroom with full ensuite facilities and 19 bedrooms with toilet facilities. All bedrooms have hand basins. Full bathroom facilities are located centrally in each wing. Appropriately secured and approved handrails are provided in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r w:rsidRPr="00BE00C7">
              <w:rPr>
                <w:rFonts w:cs="Arial"/>
                <w:b w:val="0"/>
                <w:lang w:eastAsia="en-NZ"/>
              </w:rPr>
              <w:t>Water temperatures are maintained at below 45oC to ensure residents’ safety and to meet building compliance standards.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There are three couples who are happy having single rooms and they undertake daily tasks such as activities and dining together. Rooms are personalised with furnishings, photos and other personal items displayed. Residents confirmed during interview that they are happy with their rooms and that they are of adequate size.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room to store mobility aids, wheel chairs and mobility scooters. Staff confirmed they can easily use lifting aids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is undertaken on site in a dedicated laundry. Dedicated laundry staff demonstrated a sound knowledge of the laundry processes, dirty to clean flow and handling of soiled linen. Residents interviewed reported the laundry is managed well and their clothes are returned in a timely manner. One laundry staff member interviewed stated that not all residents clothing is labelled. This information was passed onto the nurse manager during the audit. Staff meeting minutes identify this has been discussed at several meetings and all staff need to take responsibility for informing the laundry staff if they find unlabelled clothing. The caregivers stated that if they notice that an item of clothing is not labelled, they place this in a clear plastic bag and take it to the laundry for labelling.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appropriate training.  As confirmed in interview of cleaning staff and training records, all cleaning staff have completed safe chemical handling training. Chemicals were securely stored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processes are monitored through the internal audit programme and the monthly check of detergent use by the supplier. A report for this is left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described the procedures to be followed in the event of a fire or other emergency.   The current fire evacuation plan was approved by the New Zealand Fire Service on the 27 July 2002.  A trial evacuation takes place six-monthly with a copy sent to the New Zealand Fire Service; the most recent being on 4 September 2018.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the 41 residents. Water storage tanks are located around the complex.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alert staff to residents requiring assistance.  Call system audits are completed on a regular basis and residents and families reported staff respond promptly to call bells. When the call bell response times were check for September and October 2018 documentation showed that response times were up to 29 minutes. Staff meeting minutes showed that staff had been reminded to turn off the call bell when they answer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security arrangements are in place. Doors and windows are locked at a predetermined time and the night porter undertakes nightly security checks of the premises.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and opening external windows. Thirty-nine bedrooms have a ranch slider onto a Juliette balcony. Heating is provided by electric wall mounted thermostat control heaters in residents’ rooms and heat pumps in the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 the risk of infection to residents, staff and visitors.  The programme is guided by a comprehensive and current infection control manual, with input from the GP and pharmacist. The infection control programme and manual are reviewed two yearly.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senior registered nurse is the designated IPC coordinator, whose role and responsibilities are defined in a job description. Infection control matters, including surveillance results, are reported monthly to the nurse manager and tabled at the quality/risk committee meeting.  This committee includes the nurse manager, clinical quality and risk manager, infection control/senior registered nurse, kitchen manager and representatives from care, household and maintenance staff.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and has been in this role since August 2018.  She has undertaken training in infection prevention and control and attended relevant study days, as verified in training records sighted.  Additional support and information is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coordinator confirmed the availability of resources to support the programme and any outbreak of an infection.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 the requirements of the infection prevention and control standard and current accepted good practice.  Policies were last reviewed in 2018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Education is provided by suitably qualified RNs, and the IPC coordinator.  Content of the training is documented and evaluated to ensure it is relevant, current and understood.  A record of attendance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urinary tract infections, respiratory tract infections, skin, wound, eye, gastro enteritis and other infections.  The IPC coordinator/senior registered nurse reviews all reported infections, and these are documented.  New infections and any required management plan are discussed at handover, to ensure early intervention occurs and short-term care plans are developed.</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Trends are identified from the past year and this is reported by the nurse manager and reported to the organisation.  Eighty percent (80%) of residents and 44% of staff in April 2018 consented to the flu vaccine</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had a total of 30 infections since April 2018 through to and including September 2018.  Surveillance data did not identify any residents who had frequent infections, however residents have been identified with an increased risk of infections due to co-morbidities.  Care staff interviewed demonstrated knowledge of residents who have a higher risk of infections and the interventions required.  Data is benchmarked internally within the group and externally three-monthly. Benchmarking has provided assurance that infection rates in the facility are below average for the sector.</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infection outbreaks in the last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(RN)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was one resident who had a bedside rail as an enabler. This is only used intermittently, and the resident decides on a nightly basis if they wish staff to pull the bedrail up. Consent was sighted in the resident’s file along with an assessment and GP approval. This is reviewed six monthly as clearly documented in the restraint register. Enablers, which were the least restrictive and used voluntarily at the request of the resident are managed according to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 residents were using restraints.  Policy states that restraint is used as a last resort when all alternatives have been explored. Restraint processes are clearly understood by the staff interviewed. Annual education is undertaken and is part of the orientation process for all new staff.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31"/>
        <w:gridCol w:w="1280"/>
        <w:gridCol w:w="6594"/>
        <w:gridCol w:w="2463"/>
        <w:gridCol w:w="13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improvement data are collected and analysed. Information is communicated to staff and where appropriate residents and/or family members, such as complaints follow-up. The evaluation of corrective actions put in place is not consistently documented to show that the required outcomes have been achieved.  For example, no documented outcome related to the length of time to respond to call bell following ongoing staff education. Refer comments in 1.4.7.5.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improvement data evaluation is not consistently documented to identify if corrective actions put in place have improved service outcomes.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quality data evaluation is consistently documented to show outcome results.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has been assessed as being medication competent.   When interviewed the registered nurse could recall the proper procedures required when administering and supporting residents with medication.  At time of audit the medication trolley was observed after lunch time medications to have a used syringe with an unsheathed needle (needle pointing down) in a box on the medication trolley.  The syringe was disposed of immediately in the syringe container on the medication trolley.  An incident form was completed, and a discussion was had with the clinical quality and risk manager and registered nurse.  There is no history of this error occurring and learnings have been discussed with the nursing team to reduce and minimise the risk of this incident occurring again.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used unsheathed syringe was found on the medication trolley during audit review.</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all medication actions reflect best medication guidelines and safe practice.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files reviewed had an initial activity assessment completed.  Staff interviewed stated that they knew the residents very well and were able to identify and meet their needs.  Residents and families confirmed their involvement and satisfaction in the assessment process and activities provided.  The sample of residents’ files reviewed was extended to include a further two files. Eight of eight residents’ activity plans did not have individualised activity goals or interventions identified that were specific and meaningful to the resident.  Six of the eight activity plans did not show evaluations of the activities for the resident.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individual activity plans do not consistently identify meaningful activity goals and interventions.  Plans that do have goals or interventions do not always have documented evaluations.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activity plans are meaningful for individual residents and that goals and interventions are evaluated.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1.4.7.5</w:t>
            </w:r>
          </w:p>
          <w:p w:rsidR="00EB7645" w:rsidRPr="00BE00C7" w:rsidP="00BE00C7">
            <w:pPr>
              <w:pStyle w:val="OutcomeDescription"/>
              <w:spacing w:before="120" w:after="120"/>
              <w:rPr>
                <w:rFonts w:cs="Arial"/>
                <w:b w:val="0"/>
                <w:lang w:eastAsia="en-NZ"/>
              </w:rPr>
            </w:pPr>
            <w:r w:rsidRPr="00BE00C7">
              <w:rPr>
                <w:rFonts w:cs="Arial"/>
                <w:b w:val="0"/>
                <w:lang w:eastAsia="en-NZ"/>
              </w:rPr>
              <w:t>An appropriate 'call system' is available to summon assistance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appropriate call system available to all residents. Staff carry pagers which alert them to which area the call bell has been activated. The monitoring of call bell response times is undertaken by an off-site company who regularly report to the nurse manager. The electronic data sent to the nurse manager identifies the time it has taken to turn off the call bell. Response times sighted for September and October 2018 vary from less than one minute to 29 minutes. The service is aware this is an issue and staff have been reminded to turn off the call bells when they respond. The nurse manager has not received any concerns or complaints about the length of time it is taking staff to respond to call bells and feels the audit data is a reflection of staff forgetting to turn the bell off when they first respond.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monthly call bell audit printed off data identifies that response times are up to 29 minutes. The nurse manager verbally confirmed this has been addressed and it was confirmed in staff meeting minutes sighted. There was no change in the response times noted following the staff discussion.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call bell response times are timely.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Metlifecare Limited - Highlands Hospital</w:t>
    </w:r>
    <w:bookmarkEnd w:id="58"/>
    <w:r>
      <w:rPr>
        <w:rFonts w:cs="Arial"/>
        <w:sz w:val="16"/>
        <w:szCs w:val="20"/>
      </w:rPr>
      <w:tab/>
      <w:t xml:space="preserve">Date of Audit: </w:t>
    </w:r>
    <w:bookmarkStart w:id="59" w:name="AuditStartDate1"/>
    <w:r>
      <w:rPr>
        <w:rFonts w:cs="Arial"/>
        <w:sz w:val="16"/>
        <w:szCs w:val="20"/>
      </w:rPr>
      <w:t>1 November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