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Fergusson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Fergusson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October 2018</w:t>
      </w:r>
      <w:bookmarkEnd w:id="7"/>
      <w:r w:rsidRPr="009418D4">
        <w:rPr>
          <w:rFonts w:cs="Arial"/>
        </w:rPr>
        <w:tab/>
        <w:t xml:space="preserve">End date: </w:t>
      </w:r>
      <w:bookmarkStart w:id="8" w:name="AuditEndDate"/>
      <w:r w:rsidR="00A4268A">
        <w:rPr>
          <w:rFonts w:cs="Arial"/>
        </w:rPr>
        <w:t>16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Fergusson provides hospital (geriatric and medical), rest home and dementia level care for up to 112 residents.  On the day of audit there were 105 residents.</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 xml:space="preserve">The service is managed by a care home manager who is a registered nurse (RN).  The care home manager has been in the role since February 2018 and has been at Bupa for 10 years.  She is currently supported by an acting clinical manager (unit coordinator) who starts in the clinical manager role a fortnight after the audit. </w:t>
      </w:r>
    </w:p>
    <w:p w:rsidRPr="00A4268A">
      <w:pPr>
        <w:spacing w:before="240" w:line="276" w:lineRule="auto"/>
        <w:rPr>
          <w:rFonts w:eastAsia="Calibri"/>
        </w:rPr>
      </w:pPr>
      <w:r w:rsidRPr="00A4268A">
        <w:rPr>
          <w:rFonts w:eastAsia="Calibri"/>
        </w:rPr>
        <w:t xml:space="preserve">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Three of the three shortfalls identified as part of the previous audit continue to be areas requiring improvement.  These are around care plan interventions, wound care documentation and medication management.</w:t>
      </w:r>
    </w:p>
    <w:p w:rsidRPr="00A4268A">
      <w:pPr>
        <w:spacing w:before="240" w:line="276" w:lineRule="auto"/>
        <w:rPr>
          <w:rFonts w:eastAsia="Calibri"/>
        </w:rPr>
      </w:pPr>
      <w:r w:rsidRPr="00A4268A">
        <w:rPr>
          <w:rFonts w:eastAsia="Calibri"/>
        </w:rPr>
        <w:t>This audit also identified further areas requiring improvement around timeliness of care plans, evaluation of care plans, complaint management, full implementation of the quality system, and training for staff.</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Information about services provided is readily available to residents and families/whānau.  Discussions with families identified that they are fully informed of changes in their family member’s health status.  The care home manager has an open-door policy.  Complaints processes are documented,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and coordinated and are appropriate to the needs of the residents.  A care home manager and clinical manager are responsible for the day-to-day operations of the facility.  An annual resident/relative satisfaction survey is completed.  Quality and risk processes are documented for the service to follow.  There are human resource policies including recruitment, selection, orientation and staff training and development.  An orientation programme is in place for new staff.  There is an annual in-service training calendar schedule.  The organisational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utilise the interRAI assessment to assess, plan and evaluate care needs of the residents.  Care plans are developed in consultation with the resident and/or family.  Care plans demonstrate service integration.  Resident files include three monthly reviews by a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All staff responsible for administration of medicines completes education and medicines competencies.  The medicines records reviewed include documentation of allergies and sensitivities and are reviewed at least three monthly by the general practitioner/nurse practitioner.  </w:t>
      </w:r>
    </w:p>
    <w:p w:rsidRPr="00A4268A" w:rsidP="00621629">
      <w:pPr>
        <w:spacing w:before="240" w:line="276" w:lineRule="auto"/>
        <w:rPr>
          <w:rFonts w:eastAsia="Calibri"/>
        </w:rPr>
      </w:pPr>
      <w:r w:rsidRPr="00A4268A">
        <w:rPr>
          <w:rFonts w:eastAsia="Calibri"/>
        </w:rPr>
        <w:t>An activities programme is implemented separately for the rest home, hospital and residents in the dementia unit.  The programme includes community visitors and outings, entertainment and activities that meets the recreational preferences and abilities of the residents.</w:t>
      </w:r>
    </w:p>
    <w:p w:rsidRPr="00A4268A" w:rsidP="00621629">
      <w:pPr>
        <w:spacing w:before="240" w:line="276" w:lineRule="auto"/>
        <w:rPr>
          <w:rFonts w:eastAsia="Calibri"/>
        </w:rPr>
      </w:pPr>
      <w:r w:rsidRPr="00A4268A">
        <w:rPr>
          <w:rFonts w:eastAsia="Calibri"/>
        </w:rPr>
        <w:t>All food and baking is done on-site.  All residents' nutritional needs are identified and documented.  Choices are available and are provided.  The organisational dietitian reviews the Bupa menu plans.  Nutritious snacks are available 24/7 in the dementia unit.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restraint minimisation and safe practice policies and procedures in place.  At the time of audit there were six residents requiring the use of restraints and six residents using enablers.  Staff receive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3"/>
        <w:gridCol w:w="1280"/>
        <w:gridCol w:w="104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procedure to guide practice.  The complaints procedure is provided to resident/relatives at entry and also around the facility.  Discussion with residents and relatives confirmed they are provided with information on the complaint process.  The care home manager has overall responsibility for managing the complaints process at Fergusson.  There have been two documented complaints received in 2018 year to date, these have been actioned and documentation reflects follow up.  However, there was no documented records available to evidence management of 2017 complaints.  The manager (new in 2018) could not locate any records of 2017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Twelve accident/incident forms reviewed for September 2018 identified family were kept informed.  Three family members (one hospital, one rest home and one dementia care) interviewed stated that they are kept informed when their family member’s health status changes.  Resident/relative meetings are held every three months.  Six residents (three hospital and three rest home) interviewed stated they were welcomed on entry and were given time and explanation about the services and procedures.  An introduction to the dementia care unit booklet provides information for family, friends and visitors visiting the facility.  An interpreter policy and contact details of interpreters is available.  Interpreter services are used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Fergusson provides hospital (geriatric and medical), rest home and dementia level care for up to 112 residents.  On the day of audit there were 105 residents, 48 rest home residents including one resident on a palliative care contract, 42 hospital residents including one resident on respite care and one resident on a younger person with disabilities (YPD) contract, and 15 residents in the secure dementia unit.  There are 10 dual-purpose beds in the rest home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goals for the facility have been determined, which link to the overarching Bupa strategic plan.  Fergusson is part of the Central Bupa region and the managers from this region meet bi-monthly to review and discuss the organisational goals and their progress towards these.  The operations manager teleconferences monthly and completes a report to the director of care homes and rehabilitation.  A quarterly report is prepared by the care home manager and sent to the Bupa continuous service improvements (CSI) team on the progress and actions that have been taken to achieve the Fergusson quality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is a registered nurse (RN).  The care home manager has been in the role since February 2018 and has been at Bupa for 10 years.  She is currently supported by an acting clinical manager (unit coordinator) who starts in the clinical manager role a fortnight after the audit.  The acting clinical manager has worked at Fergusson for three years.  The care home manager and acting clinical manager are supported by a Bupa regional manager and three-unit coordinators.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 robust quality system and process.  Policies are regularly reviewed.  New policies or changes to policy are communicated to staff.  An annual internal audit and meeting schedule was sighted for the service, however not all internal audits and quality, staff, and clinical/RN meetings for 2018 have been completed as per the schedule.  Not all required corrective action plans were completed or signed off.  Riskman has been implemented by Bupa which is an electronic data collecting system.  All incidents, infections and falls are completed on the online system.  Quality data information is discussed, at the staff, quality and clinical/RN meetings (eg, complaints, infection control and incident/accidents) and the results are posted in the staffroom.  However not all quality, staff and clinical/RN meetings have been completed as per the meeting schedule.  Corrective actions required have not been completed or signed off.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satisfaction survey is completed, and the June 2017 results demonstrated an 85% positive outcome.  Corrective actions were established in areas identified as below the national average (ie, around food services).  The health and safety programme includes specific and measurable health and safety goals that are regularly reviewed.  There is a health and safety officer (care home manager) who is supported by health and safety representatives.  The health and safety team meet monthly.  Staff undergo annual health and safety training which begins during their orientation.  Contractors are required to be inducted into the facility and sign a health and safety information sheet when this has been completed.  The hazard register is reviewed annually last occurring on 16 March 2018.  Falls prevention strategies include the analysis of falls events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All incidents are coded in severity on Riskman (severity 1-4) with 4 being the most severe.  All resident incidents logged with a severity of 3 or 4 are automatically escalated to the Bupa CSI team immediately and the regional operations manager.  Actions are then followed up and managed.  </w:t>
            </w:r>
          </w:p>
          <w:p w:rsidR="00EB7645" w:rsidRPr="00BE00C7" w:rsidP="00BE00C7">
            <w:pPr>
              <w:pStyle w:val="OutcomeDescription"/>
              <w:spacing w:before="120" w:after="120"/>
              <w:rPr>
                <w:rFonts w:cs="Arial"/>
                <w:b w:val="0"/>
                <w:lang w:eastAsia="en-NZ"/>
              </w:rPr>
            </w:pPr>
            <w:r w:rsidRPr="00BE00C7">
              <w:rPr>
                <w:rFonts w:cs="Arial"/>
                <w:b w:val="0"/>
                <w:lang w:eastAsia="en-NZ"/>
              </w:rPr>
              <w:t>Twelve accident/incident forms were reviewed across the three service areas (five hospital, four rest home and three dementia).  Incident forms reviewed reflected a clinical assessment, follow-up by a RN and identified ongoing assessment and evaluation by an RN post-incident.  Neurological observations were completed for eight resident unwitnessed falls or those falls that resulted in a potential head injury.  The managers are aware of their requirement to notify relevant authorities in relation to essential notifications.  There has been one section 31 notification made since the last audit.  One stage three pressure injury in October 2018 and a gastro outbreak in October 2017 was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Seven staff files reviewed (one unit coordinator, two RNs, three caregivers and one kitchen manager) included evidence of the recruitment process including police vetting, signed employment contracts, job descriptions and orientation checklists.  Missing, was evidence of completed annual performance appraisals.  A register of registered nursing staff and other health practitioner practising certificates is maintained.  The service has an orientation programme in place that provides new staff with relevant information for safe work practice.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in-service training calendar schedule, however there was no documented evidence of eight hours annual training being completed in the last year.  Discussion with the caregivers confirmed that monthly in-service training was not consistently completed in the last 12 months.  Nine caregivers are employed to work in the dementia care unit with six having completed their national dementia qualification.  Three caregivers are in the process of completing their qualification and have all commenced work within the last 18 months.  Twelve RNs are employed and five have completed their interRAI training.  Core competencies are completed annually, and a record of completion is maintained (signed competency questionnaires sighted in reviewed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staffing policy that aligns with contractual requirements and includes skill mixes.  There is a full-time care home manager and acting clinical manager who work from Monday to Friday.  The acting clinical manager oversees and provides support for the unit coordinators (the acting clinical manager is also the unit coordinator(UC) in the hospital.  The service was currently recruiting for the UC role in the hospital).  An enrolled nurse (EN) is the unit coordinator in the rest home and there is a RN unit coordinator in the dementia unit.  The unit coordinators work from Monday to Friday.  There is also a RN in the hospital across all shifts 24/7.  RNs are supported by sufficient numbers of caregivers across all shifts.  Interviews with staff, residents and family members identified that staffing is adequate to meet the needs of residents, and staffing can be adjusted related to the needs of the residents.  There is a pool of casual staff to cover leave and sickness.  Separate laundry and cleaning staff are employed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three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are 38 hospital residents and two rest home residents.  There is a unit coordinator/RN who is supported by a RN on duty on the morning and afternoon shifts, and one on the night shift.  There are nine caregivers on duty in the morning shift (four long and five short shifts), six on the afternoon shift (four long and two short shifts)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46 rest home residents and four hospital residents.  There is unit coordinator/RN who is supported by a RN on duty in the morning shift.  There are six caregivers on duty in the morning shift (four long and two short shifts), four on the afternoon shift (two long and two short shifts)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 there are 15 dementia residents.  There is unit coordinator/EN who is supported by a RN on duty in the morning shift.  There are three caregivers on duty in the morning shift (two long and one short shift), three on the afternoon shift (one long and two short shifts) and one caregiver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Resident’s medicines are stored securely in the medication room/cupboards.  Weekly checks of the controlled medication were not always documented, and eye drops not dated, with some dated eye drops opened longer than the specified times.</w:t>
            </w:r>
          </w:p>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practice complied with the medication management policy for the medication round sighted.  This is an improvement from the previous audit.  There was documented evidence of three monthly reviews by the GP.  Registered nurses and caregivers administer medicines.  All staff that administer medicines are deemed as competent and have received medication management training.  All medications were evidenced to be administered as prescribed on the electronic medication system,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Temperature monitoring of the medication fridges was not always completed daily as per Bupa policy.  There were no residents self-administering medication on the day of audit.  There are no standing orders.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kitchen manager who oversees food management.  The food, fluid, and nutritional needs of residents are provided in line with recognised nutritional guidelines and there is a national menu in place that has been audited and approved by an external dietitian.  There are policies in place to guide staff.  All food is cooked on-site in a large commercial kitchen.  There is sufficient storage available.  Stock rotation is practised.  Hot food temperatures are monitored daily on all meals (records sighted).  Fridges and freezers have temperatures monitored daily.  Chilled inward goods are temperature checked on delivery and prior to storage.  Daily air temperatures are recorded.  </w:t>
            </w:r>
          </w:p>
          <w:p w:rsidR="00EB7645" w:rsidRPr="00BE00C7" w:rsidP="00BE00C7">
            <w:pPr>
              <w:pStyle w:val="OutcomeDescription"/>
              <w:spacing w:before="120" w:after="120"/>
              <w:rPr>
                <w:rFonts w:cs="Arial"/>
                <w:b w:val="0"/>
                <w:lang w:eastAsia="en-NZ"/>
              </w:rPr>
            </w:pPr>
            <w:r w:rsidRPr="00BE00C7">
              <w:rPr>
                <w:rFonts w:cs="Arial"/>
                <w:b w:val="0"/>
                <w:lang w:eastAsia="en-NZ"/>
              </w:rPr>
              <w:t>Resident likes, and dislikes are known and recorded in the kitchen, and alternatives are offered.  The residents have a nutritional profile developed on admission, which identifies dietary requirements and likes and dislikes and is reviewed six monthly, as part of the care plan review.  Special diets (ie, soft and pureed diets) are noted on the kitchen noticeboard, which can be viewed only by kitchen staff.  Meals are served from bain maries to the residents in the dining rooms and can be delivered to rooms as required.  Specialist utensils and plates are available for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 annual satisfaction survey monitors food satisfaction.  The kitchen is included in the internal audit programme.  Staff have been trained in safe food handling and chemical safety.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commented positively on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demonstrate service integration and input from allied health.  All resident care plans sampled were resident centred; however, not all support needs were documented in sufficient detail.  Family members interviewed, confirmed care delivery and support by staff is consistent with their expectations.  One hospital resident had a specific ‘End of Life’ care plan in place following a change in health status.  Other specific care plans were implemented for specific health needs, including (but not limited to) dementia, medical needs, diabetes, and chronic wounds.  The contracted physiotherapist has completed transfer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in use for changes in health status and signed-off as resolved or transferred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each shift at handover.  If external nursing or allied health advice is required, the RNs will initiate a referral (eg, to the district nurse or wound care specialist nurse).  If external medical advice is required, this will be actioned by the GPs.  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it was not clear how many wounds were being treated and the wound logs were not up to date.  Wound assessment, monitoring and wound management plans continue to be an area requiring improvement.   There were six pressure injuries including three facility acquired (one stage three and two without a grade), and three non-facility acquired (one stage one and two stage two).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registered nurses and caregivers demonstrated an understanding of the individualised needs of residents.  Monitoring charts sighted included behaviour charts, restraint monitoring forms, turning charts, food and fluid charts, regular monitoring of bowels and regular (monthly or more frequently if required) weight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team at Bupa Fergusson continues to comprise of one activity coordinator and three activity assistants who deliver the activity programme over seven days per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activity assistants who work in the dementia unit have completed NZQA level 4 dementia modules.  The activity team have access to the Bupa diversional therapy (DT) team at head office and attend the regional DT/activities regional study days with training and education including guest speakers.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programme, which is reviewed when their plan of care is reviewed and as part of their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activity programme is implemented over seven days per week in all three areas.  There is a large open plan central lounge/dining area which is used for activities for rest home and hospital residents.  There are separate rest home/hospital and dementia programmes with activities that meet the needs and preferences of the resident groups; however, some activities are integrated such as entertainment, as observed on the day of audit.  Variations to the group programme are made known to the residents.  Residents may choose to participate in any group programme.  Individual programmes are delivered to residents in their rooms when they are unable to or choose not to participate in the group programme.  </w:t>
            </w:r>
          </w:p>
          <w:p w:rsidR="00EB7645" w:rsidRPr="00BE00C7" w:rsidP="00BE00C7">
            <w:pPr>
              <w:pStyle w:val="OutcomeDescription"/>
              <w:spacing w:before="120" w:after="120"/>
              <w:rPr>
                <w:rFonts w:cs="Arial"/>
                <w:b w:val="0"/>
                <w:lang w:eastAsia="en-NZ"/>
              </w:rPr>
            </w:pPr>
            <w:r w:rsidRPr="00BE00C7">
              <w:rPr>
                <w:rFonts w:cs="Arial"/>
                <w:b w:val="0"/>
                <w:lang w:eastAsia="en-NZ"/>
              </w:rPr>
              <w:t>The group programme covers physical, cognitive, social and spiritual needs.  There are regular visiting entertainers and community groups.  Targeted group programmes are offered as appropriate to meet the needs of subsets of residents.  There is a weekly Catholic church service and other denominations and some residents attend church services in the community.  Residents can go on outings using the service’s van.  Some rest home residents choose to use alternative transport arrangements to attend community interests.  A caregiver accompanies the activity person on outings.  There is a designated van driver.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provide feedback on the activity programme through the bi-monthly resident meeting and resident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were satisfied with the activities programmes on offer.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Multidisciplinary reviews are documented in file that involve the RN, GP, activities staff, physiotherapist (if involved) and resident/family.  The family are notified of the outcome of the review by phone call and if unable to attend, they receive a copy of the reviewed plans.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r w:rsidRPr="00BE00C7">
              <w:rPr>
                <w:rFonts w:cs="Arial"/>
                <w:b w:val="0"/>
                <w:lang w:eastAsia="en-NZ"/>
              </w:rPr>
              <w:t>Not all care plans documented a six-monthly evaluation against stated goals and STCP were not always evaluated.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and the facility employs a full-time maintenance manager.  There are proactive and reactive maintenance management plans in place.  The grounds and gardens are maintained by a qualified gardener who assists with maintenance.  Medical equipment requiring servicing and calibration, and testing and tagging is up to date.  There are hazard management systems in place to ensure the physical environment minimises risk of harm, promotes safe mobility, aids independence and is appropriate to the needs of the residents and any visitors to the facility.  Residents have adequate internal space to meet their needs.  External areas are safe and well maintained.  The facility has a van available for transportation of residents.  Those transporting residents are designated drivers.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general practitioners and local laboratory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officer.  This includes audits of the facility, hand hygiene and surveillance of infection control events and infections.  Surveillance data is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Infections statistics are included for benchmarking.  Corrective actions are established where infections are above the benchmark.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infections are documented monthly in an infection control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Interviews with the caregiver and nursing staff confirmed their understanding of restraints and enablers.  Enablers are assessed as required, for maintaining safety and independence and are used voluntarily by the residents.  There are six residents with seven restraints (six T belts and one bed rail) and six residents using seven enablers (four bed rails and three chair briefs).  An assessment for restraint/enabler use and consent form were evidenced completed in the two restraint and three enabler resident files reviewed.  However, the care plans reviewed did not have documented evidence of appropriate interventions and risks involved (link 1.3.5.2).</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88"/>
        <w:gridCol w:w="1280"/>
        <w:gridCol w:w="4373"/>
        <w:gridCol w:w="4916"/>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procedure to guide practice.  There have been two documented complaints received in 2018 year to date, however there was no documented records available to evidence management of 2017 complaints.  The manager (new in 2018) could not locate any records of 2017 complaints.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27 complaints documented in the quality meeting minutes from March to September 2017 (there were no quality meetings held in January, February, October, November and December 2017, so there were no complaint numbers available for those months).  The manager could not locate a complaint register or documentation related to those complaints.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are copied of all complaints on the complaint register and documentation is maintained to reflect response letters and communication to the complainant.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 robust quality system and process.  An annual internal audit and meeting schedule was sighted for the service, however not all internal audits and quality, staff, and clinical/RN meetings have been completed as per the schedule.  There had been only one quality, three RN/clinical and three staff meetings in 2018 (scheduled as b-monthly).  In 2017 there had been 7 of 12 quality, 4 of 12 staff and 4 of 12 RN/clinical meetings completed in 2017 (these were all scheduled as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quality, staff and RN/clinical meetings have taken place according to the meeting schedule.  There has been only one quality meeting, three RN/clinical meetings and three staff meetings in 2018 (scheduled as bi-monthly).  In 201,7 there had been 7 of 12 quality, 4 of 12 staff meetings and 4 of 12 RN/clinical meetings completed in 2017 (these were all scheduled as monthly).  Corrective actions identified in meeting minutes that required actioning have not been completed or signed off.</w:t>
            </w:r>
          </w:p>
          <w:p w:rsidR="00EB7645" w:rsidRPr="00BE00C7" w:rsidP="00BE00C7">
            <w:pPr>
              <w:pStyle w:val="OutcomeDescription"/>
              <w:spacing w:before="120" w:after="120"/>
              <w:rPr>
                <w:rFonts w:cs="Arial"/>
                <w:b w:val="0"/>
                <w:lang w:eastAsia="en-NZ"/>
              </w:rPr>
            </w:pPr>
            <w:r w:rsidRPr="00BE00C7">
              <w:rPr>
                <w:rFonts w:cs="Arial"/>
                <w:b w:val="0"/>
                <w:lang w:eastAsia="en-NZ"/>
              </w:rPr>
              <w:t>ii) The internal audit schedule has not always been adhered to.  Twenty of thirty-eight internal audits for 2018 have not been completed.  Not all corrective action plans required from shortfalls identified in internal audits had been signed off as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facility meetings take place according to the meeting schedule and corrective actions required are completed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internal audit schedule is adhered to and that all required corrective action plans are completed and signed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in-service training calendar schedule, however not all scheduled training has been completed the last two years.  Discussion with the caregivers confirmed that monthly in-service training was not consistently completed in the last 12 months.  Performance appraisals were not all up to date in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In-service training hadn’t been completed for the following topics in the last two years; complaints/open disclosure, communication, end of life/death, challenging behaviour, nutrition/hydration, pain management, incontinence management, sexuality/intimacy and spirituality/counselling.</w:t>
            </w:r>
          </w:p>
          <w:p w:rsidR="00EB7645" w:rsidRPr="00BE00C7" w:rsidP="00BE00C7">
            <w:pPr>
              <w:pStyle w:val="OutcomeDescription"/>
              <w:spacing w:before="120" w:after="120"/>
              <w:rPr>
                <w:rFonts w:cs="Arial"/>
                <w:b w:val="0"/>
                <w:lang w:eastAsia="en-NZ"/>
              </w:rPr>
            </w:pPr>
            <w:r w:rsidRPr="00BE00C7">
              <w:rPr>
                <w:rFonts w:cs="Arial"/>
                <w:b w:val="0"/>
                <w:lang w:eastAsia="en-NZ"/>
              </w:rPr>
              <w:t>Seven staff files were reviewed, three of the seven files did not have documented evidence of an up-to-date annual performance appraisal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sufficient staff attend education sessions to provide certainty that staff have received training in required areas.</w:t>
            </w:r>
          </w:p>
          <w:p w:rsidR="00EB7645" w:rsidRPr="00BE00C7" w:rsidP="00BE00C7">
            <w:pPr>
              <w:pStyle w:val="OutcomeDescription"/>
              <w:spacing w:before="120" w:after="120"/>
              <w:rPr>
                <w:rFonts w:cs="Arial"/>
                <w:b w:val="0"/>
                <w:lang w:eastAsia="en-NZ"/>
              </w:rPr>
            </w:pPr>
            <w:r w:rsidRPr="00BE00C7">
              <w:rPr>
                <w:rFonts w:cs="Arial"/>
                <w:b w:val="0"/>
                <w:lang w:eastAsia="en-NZ"/>
              </w:rPr>
              <w:t>Ensure annual performance appraisals are up to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medication management policy outlines the policies and practices to be followed in relation to medication management.  Staff interviewed who administer medication, could describe safe medication management and administration practices.  All medication was evidenced to have been given as prescribed for all residents on the electronic medication chart.  Medication fridge temperatures had not been consistently recorded in the hospital.  This is a continued shortfall from the previous audit.  Eye drops were not always dated, and some eye-drops opened longer than the specified timeframe.  Weekly controlled medication checks were not always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Temperature recordings for the medication fridge in hospital were not evidenced to be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Three eye drops were not dated on opening in the rest home and two eye drops were opened longer than the set time in the rest home. </w:t>
            </w:r>
          </w:p>
          <w:p w:rsidR="00EB7645" w:rsidRPr="00BE00C7" w:rsidP="00BE00C7">
            <w:pPr>
              <w:pStyle w:val="OutcomeDescription"/>
              <w:spacing w:before="120" w:after="120"/>
              <w:rPr>
                <w:rFonts w:cs="Arial"/>
                <w:b w:val="0"/>
                <w:lang w:eastAsia="en-NZ"/>
              </w:rPr>
            </w:pPr>
            <w:r w:rsidRPr="00BE00C7">
              <w:rPr>
                <w:rFonts w:cs="Arial"/>
                <w:b w:val="0"/>
                <w:lang w:eastAsia="en-NZ"/>
              </w:rPr>
              <w:t>iii)  The controlled medication book was not checked weekly in the rest home.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fridge temperature monitoring is conducted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eye drops are dated on opening and are not stored longer than the set time once opened. </w:t>
            </w:r>
          </w:p>
          <w:p w:rsidR="00EB7645" w:rsidRPr="00BE00C7" w:rsidP="00BE00C7">
            <w:pPr>
              <w:pStyle w:val="OutcomeDescription"/>
              <w:spacing w:before="120" w:after="120"/>
              <w:rPr>
                <w:rFonts w:cs="Arial"/>
                <w:b w:val="0"/>
                <w:lang w:eastAsia="en-NZ"/>
              </w:rPr>
            </w:pPr>
            <w:r w:rsidRPr="00BE00C7">
              <w:rPr>
                <w:rFonts w:cs="Arial"/>
                <w:b w:val="0"/>
                <w:lang w:eastAsia="en-NZ"/>
              </w:rPr>
              <w:t>iii) Ensure the controlled medication is checked weekly.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included a current care plan and assessments.  The service has a plan in place to ensure timeliness of new assessments, long-term care plans and evaluations.  Not all care plan interRAI, assessments and evaluations have been timely.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(i)One rest home and two dementia care files reviewed did not have the initial interRAI and long-term care plan completed within required timeframes following admission.</w:t>
            </w:r>
          </w:p>
          <w:p w:rsidR="00EB7645" w:rsidRPr="00BE00C7" w:rsidP="00BE00C7">
            <w:pPr>
              <w:pStyle w:val="OutcomeDescription"/>
              <w:spacing w:before="120" w:after="120"/>
              <w:rPr>
                <w:rFonts w:cs="Arial"/>
                <w:b w:val="0"/>
                <w:lang w:eastAsia="en-NZ"/>
              </w:rPr>
            </w:pPr>
            <w:r w:rsidRPr="00BE00C7">
              <w:rPr>
                <w:rFonts w:cs="Arial"/>
                <w:b w:val="0"/>
                <w:lang w:eastAsia="en-NZ"/>
              </w:rPr>
              <w:t>(ii) one hospital and one rest home file reviewed did not have six-monthly care plan evaluations completed within 6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interRAI’s, care plans and evaluations are documented within set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were developed by the registered nurses and were based on information gathered through the assessment process.  Not all care plans reviewed documented all the care interventions required, this is a continued shortfall from the previous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three hospital level care and one of two rest home plans reviewed did not include all interventions needed.  (i) one hospital file did not include interventions for care and prevention of pressure injuries.  Also, the long-term care plan and a short-term care plan included interventions which were no longer applicable.  (ii) one hospital file stated the resident was low falls risk, but the resident had sustained eight falls since January and two falls in September.  (iii) The rest home level care plan was unclear regarding intervention around falls prevention.  There was also contradicting information regarding mobilisation.  (iv) The care plans reviewed for two restraint and three enabler resident files did not have documented evidence of interventions or risks.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(i)-(iv) Ensure care plans have clear interventions documented for all assessed care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monitoring and wound management plans are in place for wounds.  Staff were aware who had wounds and interventions, however wound care documentation was not clear.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Each of the units (hospital, rest home and dementia unit) had wound files and wound logs, however the logs did not match the current wounds being managed.</w:t>
            </w:r>
          </w:p>
          <w:p w:rsidR="00EB7645" w:rsidRPr="00BE00C7" w:rsidP="00BE00C7">
            <w:pPr>
              <w:pStyle w:val="OutcomeDescription"/>
              <w:spacing w:before="120" w:after="120"/>
              <w:rPr>
                <w:rFonts w:cs="Arial"/>
                <w:b w:val="0"/>
                <w:lang w:eastAsia="en-NZ"/>
              </w:rPr>
            </w:pPr>
            <w:r w:rsidRPr="00BE00C7">
              <w:rPr>
                <w:rFonts w:cs="Arial"/>
                <w:b w:val="0"/>
                <w:lang w:eastAsia="en-NZ"/>
              </w:rPr>
              <w:t>ii)  Two of the facility-acquired pressure injuries (both rest home) were not graded.</w:t>
            </w:r>
          </w:p>
          <w:p w:rsidR="00EB7645" w:rsidRPr="00BE00C7" w:rsidP="00BE00C7">
            <w:pPr>
              <w:pStyle w:val="OutcomeDescription"/>
              <w:spacing w:before="120" w:after="120"/>
              <w:rPr>
                <w:rFonts w:cs="Arial"/>
                <w:b w:val="0"/>
                <w:lang w:eastAsia="en-NZ"/>
              </w:rPr>
            </w:pPr>
            <w:r w:rsidRPr="00BE00C7">
              <w:rPr>
                <w:rFonts w:cs="Arial"/>
                <w:b w:val="0"/>
                <w:lang w:eastAsia="en-NZ"/>
              </w:rPr>
              <w:t>iii)  It was not clear in the wound documentation reviewed, which evaluation belonged to which wound.</w:t>
            </w:r>
          </w:p>
          <w:p w:rsidR="00EB7645" w:rsidRPr="00BE00C7" w:rsidP="00BE00C7">
            <w:pPr>
              <w:pStyle w:val="OutcomeDescription"/>
              <w:spacing w:before="120" w:after="120"/>
              <w:rPr>
                <w:rFonts w:cs="Arial"/>
                <w:b w:val="0"/>
                <w:lang w:eastAsia="en-NZ"/>
              </w:rPr>
            </w:pPr>
            <w:r w:rsidRPr="00BE00C7">
              <w:rPr>
                <w:rFonts w:cs="Arial"/>
                <w:b w:val="0"/>
                <w:lang w:eastAsia="en-NZ"/>
              </w:rPr>
              <w:t>iv)  Two hospital level wound plans had more than one wound documented per form.</w:t>
            </w:r>
          </w:p>
          <w:p w:rsidR="00EB7645" w:rsidRPr="00BE00C7" w:rsidP="00BE00C7">
            <w:pPr>
              <w:pStyle w:val="OutcomeDescription"/>
              <w:spacing w:before="120" w:after="120"/>
              <w:rPr>
                <w:rFonts w:cs="Arial"/>
                <w:b w:val="0"/>
                <w:lang w:eastAsia="en-NZ"/>
              </w:rPr>
            </w:pPr>
            <w:r w:rsidRPr="00BE00C7">
              <w:rPr>
                <w:rFonts w:cs="Arial"/>
                <w:b w:val="0"/>
                <w:lang w:eastAsia="en-NZ"/>
              </w:rPr>
              <w:t>v)   The service has a process where healed wounds continue to be monitored for a period post-healing and remain in the wound log, however it was not always clear if the wound was healed and monitored or continuing to require treatment.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wound log is up to date.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pressure injuries are graded.</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wound plans and evaluations are clearly labelled and linked to each other.</w:t>
            </w:r>
          </w:p>
          <w:p w:rsidR="00EB7645" w:rsidRPr="00BE00C7" w:rsidP="00BE00C7">
            <w:pPr>
              <w:pStyle w:val="OutcomeDescription"/>
              <w:spacing w:before="120" w:after="120"/>
              <w:rPr>
                <w:rFonts w:cs="Arial"/>
                <w:b w:val="0"/>
                <w:lang w:eastAsia="en-NZ"/>
              </w:rPr>
            </w:pPr>
            <w:r w:rsidRPr="00BE00C7">
              <w:rPr>
                <w:rFonts w:cs="Arial"/>
                <w:b w:val="0"/>
                <w:lang w:eastAsia="en-NZ"/>
              </w:rPr>
              <w:t>iv) Ensure there is one wound per form.</w:t>
            </w:r>
          </w:p>
          <w:p w:rsidR="00EB7645" w:rsidRPr="00BE00C7" w:rsidP="00BE00C7">
            <w:pPr>
              <w:pStyle w:val="OutcomeDescription"/>
              <w:spacing w:before="120" w:after="120"/>
              <w:rPr>
                <w:rFonts w:cs="Arial"/>
                <w:b w:val="0"/>
                <w:lang w:eastAsia="en-NZ"/>
              </w:rPr>
            </w:pPr>
            <w:r w:rsidRPr="00BE00C7">
              <w:rPr>
                <w:rFonts w:cs="Arial"/>
                <w:b w:val="0"/>
                <w:lang w:eastAsia="en-NZ"/>
              </w:rPr>
              <w:t>v)  Ensure that the wound plan is clear regarding the treatment (monitoring and care interventions).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short-term care plans for acute and short-term needs, but these are not always evaluated and/or closed off as needed.  There is a process in place for evaluating long-term care plans and multidisciplinary reviews, but the evaluations did not always document progress towards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and one dementia activity plan did not document evaluation of activities towards goals with ‘no change’ the only comment.  Care plans for weight management for a rest home resident and the transfer plans for two hospital level residents had not been evaluated to document any progress towards goals.</w:t>
            </w:r>
          </w:p>
          <w:p w:rsidR="00EB7645" w:rsidRPr="00BE00C7" w:rsidP="00BE00C7">
            <w:pPr>
              <w:pStyle w:val="OutcomeDescription"/>
              <w:spacing w:before="120" w:after="120"/>
              <w:rPr>
                <w:rFonts w:cs="Arial"/>
                <w:b w:val="0"/>
                <w:lang w:eastAsia="en-NZ"/>
              </w:rPr>
            </w:pPr>
            <w:r w:rsidRPr="00BE00C7">
              <w:rPr>
                <w:rFonts w:cs="Arial"/>
                <w:b w:val="0"/>
                <w:lang w:eastAsia="en-NZ"/>
              </w:rPr>
              <w:t>ii) Short-term care plans were not evaluated for one hospital and one rest home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care plans evaluate progress towards stated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the short-term care plans are evaluated or closed as needed.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Fergusson Rest Home &amp; Hospital</w:t>
    </w:r>
    <w:bookmarkEnd w:id="58"/>
    <w:r>
      <w:rPr>
        <w:rFonts w:cs="Arial"/>
        <w:sz w:val="16"/>
        <w:szCs w:val="20"/>
      </w:rPr>
      <w:tab/>
      <w:t xml:space="preserve">Date of Audit: </w:t>
    </w:r>
    <w:bookmarkStart w:id="59" w:name="AuditStartDate1"/>
    <w:r>
      <w:rPr>
        <w:rFonts w:cs="Arial"/>
        <w:sz w:val="16"/>
        <w:szCs w:val="20"/>
      </w:rPr>
      <w:t>15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