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Accadia Manor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Accadia Manor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October 2018</w:t>
      </w:r>
      <w:bookmarkEnd w:id="7"/>
      <w:r w:rsidRPr="009418D4">
        <w:rPr>
          <w:rFonts w:cs="Arial"/>
        </w:rPr>
        <w:tab/>
        <w:t xml:space="preserve">End date: </w:t>
      </w:r>
      <w:bookmarkStart w:id="8" w:name="AuditEndDate"/>
      <w:r w:rsidR="00A4268A">
        <w:rPr>
          <w:rFonts w:cs="Arial"/>
        </w:rPr>
        <w:t>19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Accadia Manor rest home provides rest home level care for up to 29 residents.  During the audit, there were 28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 xml:space="preserve">The care home manager has been in the role two months and has had 12 years’ experience in aged care as an owner/operator.  She is supported by an experienced clinical manager/registered nurse. </w:t>
      </w:r>
    </w:p>
    <w:p w:rsidRPr="00A4268A">
      <w:pPr>
        <w:spacing w:before="240" w:line="276" w:lineRule="auto"/>
        <w:rPr>
          <w:rFonts w:eastAsia="Calibri"/>
        </w:rPr>
      </w:pPr>
      <w:r w:rsidRPr="00A4268A">
        <w:rPr>
          <w:rFonts w:eastAsia="Calibri"/>
        </w:rPr>
        <w:t xml:space="preserve">The residents, family and general practitioner commented positively on the services received at Accadia Manor rest home.  </w:t>
      </w:r>
    </w:p>
    <w:p w:rsidRPr="00A4268A">
      <w:pPr>
        <w:spacing w:before="240" w:line="276" w:lineRule="auto"/>
        <w:rPr>
          <w:rFonts w:eastAsia="Calibri"/>
        </w:rPr>
      </w:pPr>
      <w:r w:rsidRPr="00A4268A">
        <w:rPr>
          <w:rFonts w:eastAsia="Calibri"/>
        </w:rPr>
        <w:t xml:space="preserve">This certification audit identified that improvements are required in relation to reporting of quality data and meetings, incident reporting, and training.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Bupa Accadia Manor Rest Home endeavours to ensure that care is provided in a way that focuses on the individual, values residents' quality of life and maintains their privacy and choice.  Staff demonstrated an understanding of residents' rights and obligations.  Residents receive services in a manner that considers their dignity, privacy and independence.  Written information regarding consumers’ rights is provided to residents and families.  Cultural needs are identified.  There is evidence that residents and family are kept informed.  The rights of the resident and/or their family to make a complaint is understood, respected and upheld by the service.  Complaints processes are implemented, and the complaint viewed was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and are appropriate to the needs of the residents.  A newly appointed experienced care home manager and clinical manager are responsible for day-to-day operations.  Goals are documented for the service.  A quality and risk management programme is documented.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and ongoing education and training plan are in place.</w:t>
      </w:r>
    </w:p>
    <w:p w:rsidRPr="00A4268A">
      <w:pPr>
        <w:spacing w:before="240" w:line="276" w:lineRule="auto"/>
        <w:rPr>
          <w:rFonts w:eastAsia="Calibri"/>
        </w:rPr>
      </w:pPr>
      <w:r w:rsidRPr="00A4268A">
        <w:rPr>
          <w:rFonts w:eastAsia="Calibri"/>
        </w:rPr>
        <w:t>Rosters and interviews indicated sufficient staff that are appropriately skilled with flexibility of staffing around clients’ needs.  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plans and reviews residents' needs, outcomes and goals with the resident and/or family/whānau input.  Care plans viewed in resident records demonstrated service integration.  Care plans are evaluated at least six 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caregivers responsible for administration of medicines complete education and medication competencies.  The medicine charts reviewed met legislative prescribing requirements.     </w:t>
      </w:r>
    </w:p>
    <w:p w:rsidRPr="00A4268A" w:rsidP="00621629">
      <w:pPr>
        <w:spacing w:before="240" w:line="276" w:lineRule="auto"/>
        <w:rPr>
          <w:rFonts w:eastAsia="Calibri"/>
        </w:rPr>
      </w:pPr>
      <w:r w:rsidRPr="00A4268A">
        <w:rPr>
          <w:rFonts w:eastAsia="Calibri"/>
        </w:rPr>
        <w:t xml:space="preserve">An activity coordinator implements the rest home activity programme.  The programmes include community visitors, outings, entertainment and activities that meet the individual recreational, physical, cultural and cognitive abilities of the residents.   </w:t>
      </w:r>
    </w:p>
    <w:p w:rsidRPr="00A4268A" w:rsidP="00621629">
      <w:pPr>
        <w:spacing w:before="240" w:line="276" w:lineRule="auto"/>
        <w:rPr>
          <w:rFonts w:eastAsia="Calibri"/>
        </w:rPr>
      </w:pPr>
      <w:r w:rsidRPr="00A4268A">
        <w:rPr>
          <w:rFonts w:eastAsia="Calibri"/>
        </w:rPr>
        <w:t xml:space="preserve">All meals and baking are done on-site.  Residents' food preferences and dietary requirements are identified at admission and accommodated.  The menu is reviewed by the dietitian.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The building holds a current building warrant of fitness.  Residents can freely mobilise within the communal areas with safe access to the outdoors, seating and shade.  Resident bedrooms have ensuites.  Documented policies and procedures for the cleaning and laundry services are implemented with appropriate monitoring systems in place to evaluate the effectiveness of these services.  Systems and training are in place for emergency procedures.  There is a first aider on duty at all times.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clinical manager is the restraint coordinator.  There were no residents using enablers.  The service is restraint free.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03"/>
        <w:gridCol w:w="1280"/>
        <w:gridCol w:w="89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The policy relating to the Code is implemented and staff could describe how the Code is incorporated in their everyday delivery of care.  Staff receive training about the Code during their induction to the service, which continues through in-service education and training.  Interviews with staff (two caregivers, one activity coordinator, the clinical manager and the care home manager),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resuscitation and advanced directives policies and procedures.  General consents obtained on admission were sighted in the six rest home files reviewed.  Consents were sighted for specific procedures such as influenza vaccine and catherisation.  Advance directives if known were on the resident files.  Resuscitation plans were appropriately signed.  Copies of enduring power of attorney (EPOA) were in resident files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ensure residents, and where appropriate their family/whānau, are provided with appropriate information to make informed choices and informed decisions.  Residents and relatives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contained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the national Health and Disability Advocacy service is included in the resident information pack that is provided to residents and their family on admission.  Pamphlets on advocacy services are available at the entrance to the facility in three languages.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that visiting can occur at any time.  Key people involved in the resident’s life have been documented in the resident files.  Residents verified that they have been supported and encouraged to remain involved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at entry to the service.  A record of complaints received is maintained by the care home manager (CHM) using a complaints’ register.  There was no documented record of any complaints logged in 2017.  The complaints register review included one recent complaint.  The complaint was managed in a timely manner including acknowledgement, investigation, timelines, a corrective action and resolution.  The newly appointed CHM was familiar with the requirements of right 10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Complaints forms, and a suggestion box are placed at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care home manager, the clinical manager and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held during the resident/family meetings.  All five residents and four relatives interviewed, reported that the residents’ rights are being upheld by the service.  Interviews with residents and family also confirmed their understanding of the Code and its application to aged residential care and residential disability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no Māori residents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Staff receive education on cultural awareness during their induction to the service and as a regular in-service topic.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r w:rsidRPr="00BE00C7">
              <w:rPr>
                <w:rFonts w:cs="Arial"/>
                <w:b w:val="0"/>
                <w:lang w:eastAsia="en-NZ"/>
              </w:rPr>
              <w:t>Caregivers are trained to provide a supportive relationship based on sense of trust, security and self-esteem.  Interviews with two caregivers could describe how they build a supportive relationship with each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who have been assessed as requiring rest home level care.  The quality programme has been designed to monitor contractual and standards compliance and the quality of service delivery in the facility.  Staffing policies include pre-employment and the requirement to attend orientation and ongoing in-service training.  Quality and staff meetings are conducted (link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Staff interviewed had a sound understanding of principles of aged care and stated that they feel supported by the care home manager, clinical manager and the registered nurse.  Caregivers complete competencies relevant to their practice (link 1.2.7.5).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Accadia Manor is benchmarked against other Bupa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communication with family/whānau is recorded on the family/whānau communication record, which is held in each resident’s file.  Accident/incident forms have a section to indicate if next of kin have been informed (or not) of an accident/incident.  Ten accident/incident forms reviewed identified family are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Accadia Manor provides rest home level care for up to 29 residents.  On the day of audit there were 28 residents under the ARCC contract.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The goals and direction of the service are well documented in the business plan.  Progress toward meeting goals has been documented recently.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set 2018 quality goals around (i) ensure staff receive all compulsory education, (ii) reducing falls, and (iii) involving staff in new initiatives.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newly appointed care home manager who is a registered nurse with 12 years’ experience of managing an aged care facility.  She is supported by a clinical manager/registered nurse (RN) who has been employed at the facility for five years and in the clinical manager role for two years.  The care home manager and clinical manager are supported by a Bupa regional manager.  The new manager has identified areas for improvement and is implementing positive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relieving care home manager and CM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care home manager, the clinical manager covers the care home managers role with the support of the regional manager and if required a roving CHM.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has a documented quality and risk management system, which has been partially implemented at Bupa Accadia.  Quality and risk performance has been reported at the latest staff and quality meetings.  Prior to this, staff meetings were held two to three monthly and minutes did not always evidence discussion of quality activities.  Discussions with staff confirmed the recent meeting included information on aspects of quality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residents’ falls and infection rates.  Quality and risk data, including trends in data and benchmarked results are not always discussed in the quality and applicable staff meetings.  An annual internal audit schedule was sighted for the service with evidence of internal audits and resident surveys occurring as per the audit schedule.  The resident survey in August 2018 was positive overall.  There is evidence of corrective actions being communicated to staff and consistently evaluated and signed off by management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Health and safety has not previously been included in staff or quality meetings.  A new quality agenda includes all aspects of health and safety and hazard management.  Prior to this, health and safety was evidenced to be mentioned at two to three monthly staff meetings.  The health and safety representative interviewed has attended training related to the updated legislation.  Risk management, hazard control and emergency policies and procedures are being implemented.  Hazard identification is entered into an electronic database (Riskman) accessed by all staff.  A hazard register has been reviewed recently.  There are procedures to guide staff in managing clinical and non-clinical emergencies.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individual analysis of falls events and the identification of interventions on a case-by-case basis to minimise future falls.  Falls prevention equipment includes, sensor mats and use of low beds.  Toileting plans, and regular monitoring are examples of strategies being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accident/incident process includes documentation of the incident and analysis and separation of resident and staff incidents and accidents.  Ten incidents (all incidents from September 2018) demonstrated appropriate documentation and clinical follow-up.  Neurological observations were conducted for unwitnessed falls.  Accidents and incidents are not always analysed or discussed at staff and quality meetings (link 1.2.3.6).  Not all identified incidents had been documented on incidents forms.</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are aware of situations that require statutory reporting.  No events have required reporting.  A section 31 was completed for the management change.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Five staff files were reviewed (one clinical manager, two caregivers, one activities coordinator and one cook) and included a recruitment process (interview process, reference checking, police check),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an annual education and training plan which exceeds eight hours annually, however this has not been fully implemented.  There is an attendance register for each training session and an individual staff member record of training.  Staff are required to complete written core competencies during their induction and annually. </w:t>
            </w:r>
          </w:p>
          <w:p w:rsidR="00EB7645" w:rsidRPr="00BE00C7" w:rsidP="00BE00C7">
            <w:pPr>
              <w:pStyle w:val="OutcomeDescription"/>
              <w:spacing w:before="120" w:after="120"/>
              <w:rPr>
                <w:rFonts w:cs="Arial"/>
                <w:b w:val="0"/>
                <w:lang w:eastAsia="en-NZ"/>
              </w:rPr>
            </w:pPr>
            <w:r w:rsidRPr="00BE00C7">
              <w:rPr>
                <w:rFonts w:cs="Arial"/>
                <w:b w:val="0"/>
                <w:lang w:eastAsia="en-NZ"/>
              </w:rPr>
              <w:t>The service identified a gap in the provision of staff in-service education in 2017 and 2018.  Not all compulsory education has been provided as scheduled.  Where sessions have been provided, attendance rates have been low.  Bupa Accadia Manor now has plans to provide half day sessions covering four topics at each session.  This initiative will ensure all staff receive training in all compulsory education.  One RN is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Files evidenced that not all staff who have been employed for more than 12 months contained a current annual performance appraisal.  The sample was extended to include three staff employed between one and two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staffing policy that aligns with contractual requirements and includes skill mixes.  There is a care home manager Monday – Friday and a clinical manager (RN) Monday – Friday from 7:30 am to 4.00 pm.  There are three caregivers on morning shift (one long and two short shifts), two caregivers on afternoon shift and two on night shift.  On call cover is rotated week about between the care home manager and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Separate cleaning staff are employed seven days a week and care staff manage the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identify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held securely in the nurses’ stations.  Informed consent to display photographs is obtained from residents/family/whānau on admission.  Other residents or members of the public cannot view sensitive resident information.  Entries in records are legible, dated and signed by the relevant care staff.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are provided for families and residents prior to admission or on entry to the service.  Admission agreements reviewed align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  Transfer documentation and evidence of family notification and involvement was evidenced in a recent resident admission to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All staff who administer medications (RNs and caregivers) have been assessed for competency on an annual basis.  Education around safe medication administration has been provided annually by the pharmacist.  There is evidence of medication reconciliation on delivery of robotic roll medications against the medication chart on the paper-based or electronic medication system.  All medications are stored safely.  All eye drops, and ointments were dated on opening.  Self-medication competencies had been completed and reviewed by the RN and GP for three rest home residents self-medicating creams.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chart prescribing meet legislative requirements.  Twelve medication charts reviewed had photo identification and allergy status documented on the chart.  The electronic administration sheets corresponded with the medication charts.  All medications charts (electronic and paper-based) evidenced three monthly GP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cooks share the seven-day week from 8.30 am to 5.30 pm.  They are supported by a kitchenhand from 12 noon to 2.00 pm.  Food services staff have attended food safety training.  The four-weekly seasonal menu has been reviewed by the dietitian.  The menu offers vegetarian and soft food options.  Diabetic desserts are provided as required.  There were no residents on special dietary needs on the day of audit.  Dislikes are known and accommodated.  Meals are delivered in bain marie pots by trolley to the rest home dining room bain marie, where they are served by the cook onto warmed plates.  Meals for residents in serviced apartments or rooms are plated in the kitchen and kept hot with insulated lids.    </w:t>
            </w:r>
          </w:p>
          <w:p w:rsidR="00EB7645" w:rsidRPr="00BE00C7" w:rsidP="00BE00C7">
            <w:pPr>
              <w:pStyle w:val="OutcomeDescription"/>
              <w:spacing w:before="120" w:after="120"/>
              <w:rPr>
                <w:rFonts w:cs="Arial"/>
                <w:b w:val="0"/>
                <w:lang w:eastAsia="en-NZ"/>
              </w:rPr>
            </w:pPr>
            <w:r w:rsidRPr="00BE00C7">
              <w:rPr>
                <w:rFonts w:cs="Arial"/>
                <w:b w:val="0"/>
                <w:lang w:eastAsia="en-NZ"/>
              </w:rPr>
              <w:t>The kitchen fridge/chiller, freezer, inward goods, end-cooked and bain marie temperatures are taken and recorded daily.  Perishable foods sighted in the kitchen and dining room fridge were dated.  The dishwasher is checked regularly by the chemical supplier.  Chemicals are stored safely.  A cleaning schedule is maintained.  There is a food control plan that expires September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booklet on admission, including relevant risk assessment tools.  An interRAI assessment is undertaken within 21 days of admission and six monthly, or earlier due to health changes.  Resident needs and supports are identified through the ongoing assessment process in consultation with the resident/relative and significant others.  InterRAI assessments and assessment notes were in place for the long-term resident files reviewed.  The long-term care plans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care plans in all files reviewed were individualised and resident-focused.  All identified support needs and outcomes as assessed were included in the care plans for the resident files reviewed.  Short-term care plans were in use for changes to health status and have been resolved, or if ongoing, transferred to the long-term care plan.    Care plans evidenced resident (as appropriate) and family/whānau involvement in the care plan process.  Relatives interviewed confirmed they were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GP, physiotherapist, podiatrist, and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nurse specialist consultation.  There was documented evidence on the family/whānau record page that family members were notified of any changes to their relative’s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assessment and treatment forms, ongoing evaluation form and evaluation notes were in place for two residents.  One chronic non-healing wound was documented on the care plan.  There was one pressure injury (facility acquired) on the day of audit.  Documentation reviewed was fully completed.  The wound nurse is available for complex wounds.  Pressure injury prevention and management training was last completed September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document appropriate interventions to manage short-term changes in health.  </w:t>
            </w:r>
          </w:p>
          <w:p w:rsidR="00EB7645" w:rsidRPr="00BE00C7" w:rsidP="00BE00C7">
            <w:pPr>
              <w:pStyle w:val="OutcomeDescription"/>
              <w:spacing w:before="120" w:after="120"/>
              <w:rPr>
                <w:rFonts w:cs="Arial"/>
                <w:b w:val="0"/>
                <w:lang w:eastAsia="en-NZ"/>
              </w:rPr>
            </w:pPr>
            <w:r w:rsidRPr="00BE00C7">
              <w:rPr>
                <w:rFonts w:cs="Arial"/>
                <w:b w:val="0"/>
                <w:lang w:eastAsia="en-NZ"/>
              </w:rPr>
              <w:t>Monitoring occurs for weight, vital signs, blood sugar levels, Iowa pain monitoring, challenging behaviour charts, repositioning charts, food and fluid, neurological observations and visual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has been in the role four weeks and has had 15 years as an activity coordinator previously in another Bupa facility.  She is on duty from 9.00 am – 4.00 pm Monday to Thursday and 9.00 am to 3.30 pm on Fridays.  The caregivers coordinate set activities in the weekends.  There are plenty of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and group activities for residents meet their cognitive, physical and intellectual abilities.  Activities include (but are not limited to) news and views, sit and be fit exercises, floor bowls, board games, poetry, cards, crafts, reminiscing, happy hours and library activities.  One-on-one time is allocated for those residents who choose not to participate in group activities.  Entertainment is provided weekly and there are regular van outings to places of interest, scenic drives, movies and shopping.  There are inter-home visits for games and competitions.  The SPCA visits for pet therapy.  Communion and fellowship are held monthly, and the service supports residents to have their own pastoral visitors.        </w:t>
            </w:r>
          </w:p>
          <w:p w:rsidR="00EB7645" w:rsidRPr="00BE00C7" w:rsidP="00BE00C7">
            <w:pPr>
              <w:pStyle w:val="OutcomeDescription"/>
              <w:spacing w:before="120" w:after="120"/>
              <w:rPr>
                <w:rFonts w:cs="Arial"/>
                <w:b w:val="0"/>
                <w:lang w:eastAsia="en-NZ"/>
              </w:rPr>
            </w:pPr>
            <w:r w:rsidRPr="00BE00C7">
              <w:rPr>
                <w:rFonts w:cs="Arial"/>
                <w:b w:val="0"/>
                <w:lang w:eastAsia="en-NZ"/>
              </w:rPr>
              <w:t>A resident activity assessment and Map of Life is completed on admission.  Socialising and activities are included in the My Day, My Way care plan.  The activity coordinator is involved in the six-monthly review.  The service receives feedback and suggestions for the programme through surveys and resident meetings.  Residents and relatives interviewed commented positively on the activity programme and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 within three weeks of admission.  The long-term care plans had been reviewed by the RN at least six monthly or earlier for any health changes with caregivers, family and GP input.  Family are invited to attend the multidisciplinary (MDT) review and informed of any changes if unable to attend.  The GP reviews the residents at least three monthly or earlier if required.  Ongoing nursing evaluations occur as indicated and are documented within the progress notes and are evident in changes made 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Material safety datasheets are readily accessible for staff.  Chemicals were correctly labelled and stored safely.  Personal protective clothing is available for staff and seen to be worn by staff when carrying out their duties on the day of audit.  Staff have completed chemical safety training provided by the chemical supplier.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14 December 2018.  The building is two levels with the care home on the ground floor and 19 serviced apartments (not certified for rest home level of care) on the second level with stair and lift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is currently overseeing the maintenance service due to a vacancy.  A part-time maintenance person has been appointed to commence in one week.  Requests for maintenance and repairs are logged into a maintenance book which are addressed by the care home manager.  Essential contractors are available 24 hours.  There is a 52-week planned maintenance programme that includes the checking of resident equipment and indoor temperature monitoring.  Resident room hot water temperatures are completed monthly as part of the 52-week maintenance plan.  Electrical testing and tagging is completed two yearly with resident related equipment calibrated annually.  Resident rooms have been refurbished as they become vacant.  The external parking area has been re-marked and provides accessible parking spaces for the ambulance and disabled persons.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rails and sufficient space for residents to safely mobilise using mobility aids.  There is safe access to the outdoor areas with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clinical manager interviewed, stated they have sufficient equipment to safely deliver the cares as outlined in the resident care plans including pressure injury prevention resources and a hoist for use in case of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ensuites.  Fittings and fixtures are of materials that meet infection control and health and safety standards.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and spacious.  There is adequate room to safely manoeuvre using mobility aids.  Residents and families are encouraged to personalise their rooms.  A tour of the facility evidenced personalised rooms including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include a library lounge and a second lounge off the rest home dining room.  The serviced apartment dining room within the care home is used for entertainment and bigger group activities.  There are seating alcoves throughout the facility.  Seating and space in the lounges are arranged to allow both individual and group activities to occur.  All communal areas are accessible to residents.  Care staff assist or transfer residents to communal areas for dining and activities as required.  A hair salon is located in the care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Caregivers complete laundry duties over the three shifts.  The laundry has a defined clean/dirty area.  There is a sluice tub in the laundry with personal protective wear available.  The chemical provider monitors chemical use and the effectiveness of the laundry procedures and processes.  There is a dedicated cleaner, seven days a week.  The cleaning trolley is kept in a locked area when not in use.  A cleaning schedule is maintained.  Chemicals are dispensed through a pre-mixed system.  All staff working in the laundry and cleaning service have completed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training, information, and equipment for responding to emergencies is provided.  Staff receive orientation and training in fire safety and civil defence emergencies.  There is an approved evacuation scheme and staff attend six monthly fire drills.  Civil defence supplies are readily accessible in a storage shed.  There is adequate food held in the kitchen for at least three days and 800 litres of water held on-site.  A barbeque is available for alternative cooking.  The call bell system is available in all toilet/shower areas, communal spaces and resident bedrooms.  There is emergency lighting.  There is at least one person on duty 24 hours with a current first aid certificate.  The building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There is underfloor heating throughout the facility.  The residents and family interviewed confirmed the temperature of the facility is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and its content and detail are appropriate for the size, complexity and degree of risk associated with the service.  The infection control officer (ICO) advised that staff are informed about infection control practises and reporting at orientation and ongoing on a one-to-one basis.  The infection control officer is the clinical manager and she is responsible for infection control across the facility.  The ICO and the Bupa governing body in conjunction with Bug Control, is responsible for the development of the infection control programme and its review.  The infection control programme is established at Bupa Accadia Manor.  The ICO advises she can access external input as required from general practitioners, Bupa quality &amp; risk team and the local DHB.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Bupa Accadia Manor.  The ICO advises infection control is discussed at quality and staff meetings, however this is not evidenced in meeting minutes (link 1.2.3.6).  External resources and support are available through the Bupa quality and risk team when required.  Infection prevention and control is part of staff orientation and induction.  Hand washing facilities are available throughout the facility and alcohol hand gel is freely available.  The infection control officer has completed external training and is booked to attend an update through Bug Control.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staff.  Orientation package includes specific training around hand hygiene and standard precautions.  Infection control training includes (but is not limited to) handwashing, outbreak management, and infection prevention &amp; control and standard precautions, however this has not always been provided as scheduled (link 1.2.7.5).  The infection control officer advised that staff are updated on infection control practises at handover through toolbox talks and one-to-one.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There is close liaison with the general practitioners, and the Infection Control Practitioner at the DHB is available to provide advice and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Effective monitoring is the responsibility of the infection control officer.  This includes audits of the facility, hand hygiene and surveillance of infection control events and infections.  Surveillance data is available to all staff.  Meeting minutes do not always include discussion around trends and analysis and corrective actions are not established where trends are identified (link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statistics are included for benchmarking.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definition of restraint and enablers in policies which are congruent with the definition in NZS 8134.0.  The service is restraint free.  The restraint coordinator is the clinical manager.  There were no residents using enablers on the day of audit.  Staff complete training around the use of enablers, restraints and managing residents who may exhibit challenging behaviours (link 1.2.7.5).  Care staff interviewed are familiar with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9"/>
        <w:gridCol w:w="1280"/>
        <w:gridCol w:w="6721"/>
        <w:gridCol w:w="2726"/>
        <w:gridCol w:w="13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responsible for collecting adverse event data and implementation of the internal audit programme, as per the internal audit schedule.  Quality improvement data is collected around falls, skin tears, infections, and other adverse events, but there is little evidence to support that this data is being trended and analysed.  Staff are informed regarding the number and type of adverse events each month but are not informed around trends in data or what the data is reflecting.  Staff and management reported that internal audits are discussed, however meeting minutes do not reflect this.  Resident meetings are held.  Advised that due to the facility being smaller, open discussion occurs daily which means some issues are addressed with management as they arise.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(i)Quality data is not being trended and analysed.  (ii) meeting minutes do not reflect that staff are kept informed regarding adverse events trends and outcomes.  (iii) Health and safety, infection control and staff meetings have not always occurred as scheduled.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the quality data collected is trended and analysed, (ii) ensure information is shared with staff, and (iii) ensure meetings occur as scheduled.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documented event involving a resident, reflected a clinical assessment and follow-up by a registered nurse, however not all adverse events were documented on an incident form and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incident form had not been completed when a resident absconded.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adverse events are documented and reviewed for opportunities to identify and manage associated risks.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which covers all training requirements.  This has not been fully implemented at Bupa Accadia.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Staff attendance at ten mandatory in-services in 2017-2018 was less than 50%.  The care home manager and clinical nurse manager are aware of this shortfall and they are implementing strategies to address it.</w:t>
            </w:r>
          </w:p>
          <w:p w:rsidR="00EB7645" w:rsidRPr="00BE00C7" w:rsidP="00BE00C7">
            <w:pPr>
              <w:pStyle w:val="OutcomeDescription"/>
              <w:spacing w:before="120" w:after="120"/>
              <w:rPr>
                <w:rFonts w:cs="Arial"/>
                <w:b w:val="0"/>
                <w:lang w:eastAsia="en-NZ"/>
              </w:rPr>
            </w:pPr>
            <w:r w:rsidRPr="00BE00C7">
              <w:rPr>
                <w:rFonts w:cs="Arial"/>
                <w:b w:val="0"/>
                <w:lang w:eastAsia="en-NZ"/>
              </w:rPr>
              <w:t>(ii) In-service education has not been held as scheduled in the annual planners.  Education has not been provided as scheduled for infection control, falls prevention, incident accident reporting, challenging behaviour, pain management, cultural awareness, abuse and neglect, nutrition and hydration and communication.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Six of eight staff files reviewed did not evidence annual appraisals had occurred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staff attend all required education.</w:t>
            </w:r>
          </w:p>
          <w:p w:rsidR="00EB7645" w:rsidRPr="00BE00C7" w:rsidP="00BE00C7">
            <w:pPr>
              <w:pStyle w:val="OutcomeDescription"/>
              <w:spacing w:before="120" w:after="120"/>
              <w:rPr>
                <w:rFonts w:cs="Arial"/>
                <w:b w:val="0"/>
                <w:lang w:eastAsia="en-NZ"/>
              </w:rPr>
            </w:pPr>
            <w:r w:rsidRPr="00BE00C7">
              <w:rPr>
                <w:rFonts w:cs="Arial"/>
                <w:b w:val="0"/>
                <w:lang w:eastAsia="en-NZ"/>
              </w:rPr>
              <w:t>(ii) Ensure all education is provided according to the annual planning schedule.</w:t>
            </w:r>
          </w:p>
          <w:p w:rsidR="00EB7645" w:rsidRPr="00BE00C7" w:rsidP="00BE00C7">
            <w:pPr>
              <w:pStyle w:val="OutcomeDescription"/>
              <w:spacing w:before="120" w:after="120"/>
              <w:rPr>
                <w:rFonts w:cs="Arial"/>
                <w:b w:val="0"/>
                <w:lang w:eastAsia="en-NZ"/>
              </w:rPr>
            </w:pPr>
            <w:r w:rsidRPr="00BE00C7">
              <w:rPr>
                <w:rFonts w:cs="Arial"/>
                <w:b w:val="0"/>
                <w:lang w:eastAsia="en-NZ"/>
              </w:rPr>
              <w:t>(iii) Ensure staff appraisals are completed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Accadia Manor Rest Home</w:t>
    </w:r>
    <w:bookmarkEnd w:id="58"/>
    <w:r>
      <w:rPr>
        <w:rFonts w:cs="Arial"/>
        <w:sz w:val="16"/>
        <w:szCs w:val="20"/>
      </w:rPr>
      <w:tab/>
      <w:t xml:space="preserve">Date of Audit: </w:t>
    </w:r>
    <w:bookmarkStart w:id="59" w:name="AuditStartDate1"/>
    <w:r>
      <w:rPr>
        <w:rFonts w:cs="Arial"/>
        <w:sz w:val="16"/>
        <w:szCs w:val="20"/>
      </w:rPr>
      <w:t>18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