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Fitzroy Village Management (2016) Limited - Fitzroy of Merivale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Fitzroy Village Management (2016)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Fitzroy of Merivale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November 2018</w:t>
      </w:r>
      <w:bookmarkEnd w:id="7"/>
      <w:r w:rsidRPr="009418D4">
        <w:rPr>
          <w:rFonts w:cs="Arial"/>
        </w:rPr>
        <w:tab/>
        <w:t xml:space="preserve">End date: </w:t>
      </w:r>
      <w:bookmarkStart w:id="8" w:name="AuditEndDate"/>
      <w:r w:rsidR="00A4268A">
        <w:rPr>
          <w:rFonts w:cs="Arial"/>
        </w:rPr>
        <w:t>27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Fitzroy of Merivale provides rest home level care for up to 31 residents.  On the day of the audit there were 26 residents living at the facility, including four boarders.  </w:t>
      </w:r>
    </w:p>
    <w:p w:rsidRPr="00A4268A">
      <w:pPr>
        <w:spacing w:before="240" w:line="276" w:lineRule="auto"/>
        <w:rPr>
          <w:rFonts w:eastAsia="Calibri"/>
        </w:rPr>
      </w:pPr>
      <w:r w:rsidRPr="00A4268A">
        <w:rPr>
          <w:rFonts w:eastAsia="Calibri"/>
        </w:rPr>
        <w:t>This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 xml:space="preserve">The owner/clinical manager is a registered nurse.  She is appropriately qualified and experienced and is supported by a second registered nurse.  Residents interviewed were complimentary of the service they receive.  </w:t>
      </w:r>
    </w:p>
    <w:p w:rsidRPr="00A4268A">
      <w:pPr>
        <w:spacing w:before="240" w:line="276" w:lineRule="auto"/>
        <w:rPr>
          <w:rFonts w:eastAsia="Calibri"/>
        </w:rPr>
      </w:pPr>
      <w:r w:rsidRPr="00A4268A">
        <w:rPr>
          <w:rFonts w:eastAsia="Calibri"/>
        </w:rPr>
        <w:t xml:space="preserve">The service has an established quality and risk management system.  Residents and the general practitioner interviewed commented positively on the standard of care and services.  </w:t>
      </w:r>
    </w:p>
    <w:p w:rsidRPr="00A4268A">
      <w:pPr>
        <w:spacing w:before="240" w:line="276" w:lineRule="auto"/>
        <w:rPr>
          <w:rFonts w:eastAsia="Calibri"/>
        </w:rPr>
      </w:pPr>
      <w:r w:rsidRPr="00A4268A">
        <w:rPr>
          <w:rFonts w:eastAsia="Calibri"/>
        </w:rPr>
        <w:t>This audit identified that the service was fully compliant to the standards audited.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Quality and risk management processes are established.  Quality goals are documented for the service.  A risk management programme is in place, which includes a risk management plan, incident and accident reporting, and health and safety processes.  Adverse, unplanned and untoward events are documented by staff.  The health and safety programme meets current legislative requirements.  Human resources are managed in accordance with good employment practice.  An orientation programme and regular staff education and training are in place.  Registered nursing cover is on site during the day across seven and on-call available twenty-four hours a day, seven days a week.  There are adequate numbers of staff on duty to ensure residents are safe.  The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assesses and reviews each resident’s needs, outcomes and goals at least six monthly.  Care plans demonstrated service integration.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carers responsible for administration of medication complete annual education and medication competencies.  The medicine charts had been reviewed by the general practitioner at least three monthly.  </w:t>
      </w:r>
    </w:p>
    <w:p w:rsidRPr="00A4268A" w:rsidP="00621629">
      <w:pPr>
        <w:spacing w:before="240" w:line="276" w:lineRule="auto"/>
        <w:rPr>
          <w:rFonts w:eastAsia="Calibri"/>
        </w:rPr>
      </w:pPr>
      <w:r w:rsidRPr="00A4268A">
        <w:rPr>
          <w:rFonts w:eastAsia="Calibri"/>
        </w:rPr>
        <w:t xml:space="preserve">A diversional therapist implements the activity programme for the residents.  The programme includes community visitors, outings and activities that meet the individual and group recreational preferences for the residents.  </w:t>
      </w:r>
    </w:p>
    <w:p w:rsidRPr="00A4268A" w:rsidP="00621629">
      <w:pPr>
        <w:spacing w:before="240" w:line="276" w:lineRule="auto"/>
        <w:rPr>
          <w:rFonts w:eastAsia="Calibri"/>
        </w:rPr>
      </w:pPr>
      <w:r w:rsidRPr="00A4268A">
        <w:rPr>
          <w:rFonts w:eastAsia="Calibri"/>
        </w:rPr>
        <w:t xml:space="preserve">All meals and baking are provided by an off-site contractor.  Residents' food preferences and dietary requirements are identified at admission and accommodated.  Food, fluid, and nutritional needs of residents are provided in line with recognised nutritional guidelines.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that expires 1 August 2019.     </w:t>
      </w:r>
    </w:p>
    <w:p w:rsidRPr="00A4268A">
      <w:pPr>
        <w:spacing w:before="240" w:line="276" w:lineRule="auto"/>
        <w:rPr>
          <w:rFonts w:eastAsia="Calibri"/>
        </w:rPr>
      </w:pPr>
      <w:r w:rsidRPr="00A4268A">
        <w:rPr>
          <w:rFonts w:eastAsia="Calibri"/>
        </w:rPr>
        <w:t xml:space="preserve">The director/health and safety officer has responsibility for the maintenance and repairs of the facility.  There is a planned maintenance schedule in place.  There is sufficient space for residents to safely mobilise using mobility aids, and communal areas are easily accessible.  There is safe access to the outdoor areas.  Seating and shade is provided.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was no restraint or enablers in use.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There are a suite of infection control policies and guidelines to support practice.  Information obtained through surveillance is used to determine infection control activities and education needs within the facility.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85"/>
        <w:gridCol w:w="1280"/>
        <w:gridCol w:w="997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residents and families during the resident’s entry to the service.  Access to complaints forms are located at reception.  The complaints process is linked to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A record of complaints received is maintained by the clinical manager using a complaint register.  Three consumer complaints were received 2018, year to date.  Documentation evidenced that these complaints were managed in accordance with set guidelines.  All complaints were documented as resolved.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five residents confirmed that they were provided with information on the complaints process and remarked that any concerns or issues they had were addressed promptly.  There was no family available to interview on the days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The owner/clinical manager (clinical manager) confirmed family are kept informed.  Residents/relatives have the opportunity to feedback on service delivery through annual surveys and open-door communication with management.  Resident meetings encourage open discussion around the services provided (meeting minutes sighted).  Accident/incident forms reviewed evidenced relatives are informed of any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Fitzroy of Merivale is owned and operated by two owners/directors.  The service can provide rest home level care for up to 31 residents.  All but nine of the 29 units are licensed to occupy (LTO) including two double units.  On the day of audit there were 26 residents at rest home level care including two respite residents.  Four additional residents (boarders) also live at the service in the LTO rooms.</w:t>
            </w:r>
          </w:p>
          <w:p w:rsidR="00EB7645" w:rsidRPr="00BE00C7" w:rsidP="00BE00C7">
            <w:pPr>
              <w:pStyle w:val="OutcomeDescription"/>
              <w:spacing w:before="120" w:after="120"/>
              <w:rPr>
                <w:rFonts w:cs="Arial"/>
                <w:b w:val="0"/>
                <w:lang w:eastAsia="en-NZ"/>
              </w:rPr>
            </w:pPr>
            <w:r w:rsidRPr="00BE00C7">
              <w:rPr>
                <w:rFonts w:cs="Arial"/>
                <w:b w:val="0"/>
                <w:lang w:eastAsia="en-NZ"/>
              </w:rPr>
              <w:t>A philosophy, mission, vision and values are in place.  The strategic plan (2016-2020) is regularly reviewed with the facility manager/owner, director/owner and an external consultant.  There is an implemented quality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owner/director is the clinical manager/RN.  She has 25 years of public health nursing experience and has maintained over eight hours of professional development relating to the management of an aged care facility.  She is supported by the second owner/director (her spouse) who is responsible for maintenance and health and safety.  A second (part-time) RN is rostered to support the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Fitzroy of Merivale has a well-established and comprehensive quality and risk programme.   There are annual reviews documented for activities, health and safety, risk management and infection control.  This information has been used to formulate ongoing service reviews and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implemented to provide assurance that the service is meeting accepted good practice and adhering to relevant standards, including those standards relating to the Health and Disability Services (Safety) Act 2001.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linked to internal audits, incident and accident reporting, health and safety reporting, infection control data collection and complaints management.  Data is collected for a range of adverse event data (eg, skin tears, bruising, falls, infections) and is collated and analysed.  Quality data and outcomes are discussed with staff in the two monthly quality meetings.  </w:t>
            </w:r>
          </w:p>
          <w:p w:rsidR="00EB7645" w:rsidRPr="00BE00C7" w:rsidP="00BE00C7">
            <w:pPr>
              <w:pStyle w:val="OutcomeDescription"/>
              <w:spacing w:before="120" w:after="120"/>
              <w:rPr>
                <w:rFonts w:cs="Arial"/>
                <w:b w:val="0"/>
                <w:lang w:eastAsia="en-NZ"/>
              </w:rPr>
            </w:pPr>
            <w:r w:rsidRPr="00BE00C7">
              <w:rPr>
                <w:rFonts w:cs="Arial"/>
                <w:b w:val="0"/>
                <w:lang w:eastAsia="en-NZ"/>
              </w:rPr>
              <w:t>There is a robust internal audit programme that covers all aspects of the service and aligns with the requirements of the Health and Disability Services (Safety) Act 2001.  Corrective actions are developed, implemented and signed off.  Internal audits are discussed at service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risk management plan is in place.  Health and safety policies have been updated to reflect new legislative requirements.  Interviews were conducted with the health and safety officer who also is one of the owner/directors.  He has attended health and safety training through Worksafe NZ.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Staff health and safety training begins during their induction to the service.  Health and safety is a regular topic covered in the two-monthly quality/staff meetings.  Actual and potential risks are documented on a hazard register, which identifies risk ratings and documents actions to eliminate or minimise the risk.  Contractors are inducted into the facility’s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sensor mats and the development of specific falls management plans to meet the needs of each resident who is at risk of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Individual reports are completed for each incident/accident with immediate action noted and any follow-up action(s) required.  Incident/accident data is linked to the organisation's quality and risk management programme.  Ten accident/incident forms were reviewed from over a period of three months.  Each event involving a resident reflected a clinical assessment and follow-up by a registered nurse.  Neurological observations were conducted for suspected head injuries.  </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is aware of statutory responsibilities in regard to essential notification with examples provided and no notifications have been needed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are in place and continue to be implemented.  Five staff files reviewed (one RN, and four caregivers,) included evidence of the recruitment process including reference checking, signed employment contracts and job descriptions, and completed orientation programmes.  The orientation programme provides new staff with relevant information for safe work practice.  Competencies are completed specific to worker type.  Staff interviewed stated that they believed new staff were adequately orientated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annual education planner in place that covers compulsory education requirements.  The planner and individual attendance records are updated after each session.  A register of current practising certificates for health professionals is maintained.  The clinical manager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policy aligns with contractual requirements.  One RN is on site during the day seven days a week with an RN on call over 24 hours.  Staff inform that the on-call RN is always supportive and will come to the facility anytime.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an experienced RN who works full time and shares weekend responsibilities with a second RN.  There are adequate numbers of caregivers available with one caregiver rostered during the night shift and three caregivers rostered on the am and pm shifts.  Staffing is flexible to meet the acuity and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A separate cleaner is employed.  Caregivers are responsible for laundry duties.  Interviews with residents confirmed staffing overall was satisfactory.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with photo identification and allergy status documented.  All medicines are stored securely when not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verification check is completed by the clinical manager or RN against the resident’s medicine order when new medicines are supplied from the pharmacy.  Short-life medications (ie, eye drops and ointments)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the registered nurse and caregivers with medication administration responsibilities.  Administration sheets sampled were appropriately signed.  Ten medication charts reviewed identified that the GP had seen the resident three-monthly and the medication chart was signed each time a medicine was administered by staff.  A caregiver was observed administering medications and followed correct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Meals and baking are provided by an off-site contracted service.  A dietitian approves the four-seasonal menu.  The contractor receives resident dietary information including dislikes and food allergies.  Meals are transported to the facility kitchenette and served by the morning and afternoon staff who are employed by the service.  Any special dietary requirements are delivered in named containers.  Residents interviewed were very complimentary about the meals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Serving temperatures are checked on delivery and recorded.  Fridge temperatures are monitored and recorded daily.  All perishable goods were date labelled.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and kitchenhands involved in the preparation of breakfasts and serving of meals have attended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Recent initiatives have included reviewing and changing aspects of the menu following resident feedback.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sampled were goal orientated.  All four long-term care plans sampled have interventions documented.  Care plans have been updated as residents’ needs changed.  The respite resident has a short-term care plan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clinical manager or RN will initiate a GP consultation.  There is evidence that family members were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including an initial dressing box for caregivers to use if a small dressing is needed out of hours.  Wound management policies and procedures are in place.  Wound assessment, wound management and evaluation forms are in place for wounds.  Wound monitoring occurred as planned.  There were two residents with wounds.  There were no pressure injuries.  The facility has access to wound care specialist advice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The residents’ files include a urinary continence assessment, bowel management plan, and continence products used.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blood pressure, weight, vital signs, blood glucose, pain, and food and fluid.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diversional therapist (DT) is employed for 3.5 days per week and has been in the role since 2013.  Caregivers and the owners assist with activities.  The activities are provided from 10.30 am to 5.30 pm over six days a week.  Group activities are provided in the large communal dining room, in seating areas and outdoors in the gardens when weather permits.  Group activities are varied to meet the needs of both higher functioning residents and those that require more assistance.</w:t>
            </w:r>
          </w:p>
          <w:p w:rsidR="00EB7645" w:rsidRPr="00BE00C7" w:rsidP="00BE00C7">
            <w:pPr>
              <w:pStyle w:val="OutcomeDescription"/>
              <w:spacing w:before="120" w:after="120"/>
              <w:rPr>
                <w:rFonts w:cs="Arial"/>
                <w:b w:val="0"/>
                <w:lang w:eastAsia="en-NZ"/>
              </w:rPr>
            </w:pPr>
            <w:r w:rsidRPr="00BE00C7">
              <w:rPr>
                <w:rFonts w:cs="Arial"/>
                <w:b w:val="0"/>
                <w:lang w:eastAsia="en-NZ"/>
              </w:rPr>
              <w:t>Feedback from residents is through resident meetings and individual feedback.  The DT was able to show where changes to the activity plan had been made because of resident feedback.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in a variety of activities.  The group activities programme is developed monthly, and a copy of the programme is available on noticeboards.  The group programme includes residents being involved within the community with social clubs, churches and schools.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interviews each newly admitted resident on or soon after admission and takes a social history.  This information is then used to develop a diversional therapy plan, which is then reviewed six-monthly as part of the interRAI and care plan review/evaluation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reviewed were evaluated by the clinical manager or RN within three weeks of admission and a long-term care plan developed.  Residents are reassessed using the interRAI process at least six-monthly.  Long-term care plans are then evaluated and updated.  There was documented evidence that care plan evaluations were current in resident files sampled.  Care plan reviews are signed as completed by the RN.  The files sampled documented that the GP had reviewed residents three-monthly (for those that had been at the service longer than three months) or when requested, if issues arise or their health status changes.  Short-term care plans were evident for the care and treatment of residents and had been evaluated and closed or transferred to the long-term care plan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1 August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director/health and safety officer has responsibility for the maintenance and repairs of the facility.  Maintenance requests are written into a log book and addressed daily.  Essential contractors are available 24 hours.  There is a planned maintenance schedule in place.  Electrical testing is completed annually.  Clinical equipment has been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well maintained, landscaped outdoor areas.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stated they have sufficient equipment including mobility aids, wheelchairs, sensor mats and pressure injury resources (if required) to safely deliver the cares as outlined in the residents’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 audits documented that timely responses have been initiated.  Sensor mats are linked into the call bell system as part of the service’s falls prevention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analysis and audit outcomes are discussed at the quality meetings.  The service completes monthly and annual comparisons of infection rates for types of infections.  Trends are identified and analysed, and preventative measures put in place.  The GPs monitor the use of antibiotics.  Systems in place are appropriate to the size and complexity of the facility.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around restraint minimisation.  No residents were using restraints or enablers.  The clinical manager is the designated restraint coordinator.  Staff receive training on restraint minimisation.  The caregivers interviewed were able to describe the difference between an enabler and a restraint and training has been provided.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Fitzroy Village Management (2016) Limited - Fitzroy of Merivale</w:t>
    </w:r>
    <w:bookmarkEnd w:id="58"/>
    <w:r>
      <w:rPr>
        <w:rFonts w:cs="Arial"/>
        <w:sz w:val="16"/>
        <w:szCs w:val="20"/>
      </w:rPr>
      <w:tab/>
      <w:t xml:space="preserve">Date of Audit: </w:t>
    </w:r>
    <w:bookmarkStart w:id="59" w:name="AuditStartDate1"/>
    <w:r>
      <w:rPr>
        <w:rFonts w:cs="Arial"/>
        <w:sz w:val="16"/>
        <w:szCs w:val="20"/>
      </w:rPr>
      <w:t>26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