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 M &amp; D L Beer Holdings Limited - Kenwyn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TM &amp; DL Beer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Kenwyn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December 2018</w:t>
      </w:r>
      <w:bookmarkEnd w:id="7"/>
      <w:r w:rsidRPr="009418D4">
        <w:rPr>
          <w:rFonts w:cs="Arial"/>
        </w:rPr>
        <w:tab/>
        <w:t xml:space="preserve">End date: </w:t>
      </w:r>
      <w:bookmarkStart w:id="8" w:name="AuditEndDate"/>
      <w:r w:rsidR="00A4268A">
        <w:rPr>
          <w:rFonts w:cs="Arial"/>
        </w:rPr>
        <w:t>12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Kenwyn Rest Home and Hospital is privately owned and operated.  The service provides care for up to 59 residents requiring hospital, rest home and dementia level care.  On the day of the audit, there were 49 residents. </w:t>
      </w:r>
    </w:p>
    <w:p w:rsidRPr="00A4268A">
      <w:pPr>
        <w:spacing w:before="240" w:line="276" w:lineRule="auto"/>
        <w:rPr>
          <w:rFonts w:eastAsia="Calibri"/>
        </w:rPr>
      </w:pPr>
      <w:r w:rsidRPr="00A4268A">
        <w:rPr>
          <w:rFonts w:eastAsia="Calibri"/>
        </w:rPr>
        <w:t xml:space="preserve">This surveillance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The service is overseen by a clinical operations manager/registered nurse who has been in a leadership role at the facility for seven years.  The clinical operations manager is supported by a general manager.  Residents, family and the GP interviewed spoke positively about the service provided.</w:t>
        <w:br/>
        <w:t>The service has addressed all five of the previous shortfalls identified at the previous audit around: interventions, monitoring, self-medicating, chemical safety and maintenance.  This audit identified no further areas for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report communication with management and staff is open and transparent.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 The clinical operations manager (COM)/registered nurse and the general manager are responsible for the day-to-day operations of the care facility.  The COM reports to the general manager who is on-site for two days a week.  The quality and risk management processes are implemented.  Quality goals are documented for the service.  A risk management programme is in place, which includes a risk management plan, incident and accident reporting and health and safety processes.  The health and safety programme meet current legislative requirements.  Adverse, unplanned and untoward events are documented and investigated.  Human resources are managed in accordance with good employment practice.  An orientation programme is in place for new staff.  A staff education and training programme is embedded into practice.  Registered nursing cover is provided twenty-four hours a day, seven days a week.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Care plans are evaluated six-monthly or more frequently when clinically indicated.  There is a medication management system in place that follows appropriate administration and storage practices.  Each resident is reviewed at least three-monthly by their general practitioner or nurse practitioner.  A range of individual and group activities is available and coordinated by the diversional therapist.  All meals are prepared on-site.  There is a seasonal menu in place, which is reviewed by a dietitian.  Residents' food preferences are accommodated and the residents and relatives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Reactive and preventative maintenance occurs.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are four restraint and two enablers in use.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0"/>
        <w:gridCol w:w="1280"/>
        <w:gridCol w:w="104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families during entry to the service.  Access to complaints forms are located at reception.  A register of all complaints received is maintained.  Three complaints were received between the period November 2017 and December 2018.  Documentation including follow-up letters and resolution demonstrated that complaints are well-managed.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families/whānau confirmed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Service information is provided to all residents and family on entry to services.  There is also specific dementia unit information provided as needed.  The open disclosure policy is based on the principle that residents and their families have a right to know what has happened to them and to be fully informed always.  The policy also describes that open disclosure is part of everyday practice.  Six caregivers and an RN interviewed understood about open disclosure and providing appropriate information and resource material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Three hospital level relatives and two from the dementia unit interviewed confirmed they are kept informed of the resident’s status, including any events adversely affecting the resident.  A family communication sheet is held in the front of the residents’ files.  One hospital and one rest home level resident interviewed agreed that they are informed and that the managers are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manager reports that the family is contacted a minimum of monthly to update them on the resident’s health status.  Ten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citizens’ advice bureau.  Families and staff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Kenwyn Rest Home provides care for up to 59 residents at rest home, hospital (geriatric and medical) and dementia level of care.  The dementia unit provides care for up to 19 residents.  The rest home and hospital has 40 beds (8 dual-purpose, 12 hospital and the remaining rest home level).  On the day of the audit, there were 14 residents in the dementia unit, 17 hospital residents and 18 rest home residents.  One resident was receiving palliative care (hospital) and the balance were on the aged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business plan has been developed that includes a philosophy, values and measurable goals.  Business goals documented for 2017 have been reviewed and summarised and a 2018 business plan developed.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experienced COM manages the service.  She is a registered nurse (RN) with 24 years of nursing experience in aged care and has been in a leadership role at this facility for the past 7 years.  She receives support from a general manager with a business background and a team of care staff that includes five RNs and an enrolled nurse.  She is on-site three and a half days a week and the general manager is on-site two days a week.  Both managers are also responsible for operations at another aged care facility.  </w:t>
            </w:r>
          </w:p>
          <w:p w:rsidR="00EB7645" w:rsidRPr="00BE00C7" w:rsidP="00BE00C7">
            <w:pPr>
              <w:pStyle w:val="OutcomeDescription"/>
              <w:spacing w:before="120" w:after="120"/>
              <w:rPr>
                <w:rFonts w:cs="Arial"/>
                <w:b w:val="0"/>
                <w:lang w:eastAsia="en-NZ"/>
              </w:rPr>
            </w:pPr>
            <w:r w:rsidRPr="00BE00C7">
              <w:rPr>
                <w:rFonts w:cs="Arial"/>
                <w:b w:val="0"/>
                <w:lang w:eastAsia="en-NZ"/>
              </w:rPr>
              <w:t>Both managers have completed at least eight hours of training related to management of an aged care facility, relevant to their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general manager, clinical operations manager, care staff, one cook, one maintenance, one diversional therapist and activities coordinator reflected their understanding of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have been updated to include reference to interRAI, health and safety and pressure injury management.  New policies or changes to policy are communicated to staff, evidenced in meeting minutes.  Staff are requested to sign that they have read the new/revised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collected is collated and analysed using a run chart methodology.  Quality data is regularly communicated to staff via monthly staff meetings and through the use of graphs that are posted each month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implemented.  Areas of non-compliance include the initiation of a corrective action plan with corrective actions signed off to evidence their implementation.  There was evidence in the monthly staff meetings to verify staff are informed of audit results and corrective actions.  A quality improvement register is maintained that keeps a running tally of quality initiatives.  Examples since the last audit included (but were not limited to): RNs and the clinical operations manager meeting monthly to look at ‘how they can do better – thinking forward’ and innovative changes to the in-service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that meets current legislative requirements.  An interview with the health and safety officer (clinical operations manager) and review of health and safety documentation confirmed that legislative requirements are being met.  External contractors have been orientated to the facility’s health and safety programme.  The hazard register is regularly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accidents and incidents reporting policy is in place.  Adverse events are linked to the quality and risk management programme.  There was evidence to support actions to minimise the number of incidents.  Clinical evaluation of residents following an adverse event is conducted by a registered nurse and was evidenced in all ten accident/incident forms selected for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kept informed in a timely manner regarding accidents and incidents and the implementation of strategies to reduce the number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manager is aware of the requirement to notify relevant authorities in relation to essential notifications.  There had been no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which includes the recruitment and staff selection process.  Relevant checks are completed to validate the individual’s qualifications, experience and veracity, evidenced in seven staff files randomly selected for review (two caregivers, one registered nurse, one cleaner, one cook, one maintenance person and the clinical operations manager/facility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practising certificates are kept on file.  The service has an orientation programme that provides new staff with relevant information for safe work practice.  Evidence of completed induction checklists were sighted in all seven files.  Annual staff appraisals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is implemented.  Regular in-services are provided by a range of in-house and external speakers including (but not limited to): equipment providers, Aged Concern and the Health and Disability Advocacy Service.  Webinars had been used to cover a number of infection control topics. </w:t>
            </w:r>
          </w:p>
          <w:p w:rsidR="00EB7645" w:rsidRPr="00BE00C7" w:rsidP="00BE00C7">
            <w:pPr>
              <w:pStyle w:val="OutcomeDescription"/>
              <w:spacing w:before="120" w:after="120"/>
              <w:rPr>
                <w:rFonts w:cs="Arial"/>
                <w:b w:val="0"/>
                <w:lang w:eastAsia="en-NZ"/>
              </w:rPr>
            </w:pPr>
            <w:r w:rsidRPr="00BE00C7">
              <w:rPr>
                <w:rFonts w:cs="Arial"/>
                <w:b w:val="0"/>
                <w:lang w:eastAsia="en-NZ"/>
              </w:rPr>
              <w:t>Caregivers and activity staff who work regularly in the dementia unit have completed their New Zealand Qualification Authority (NZQA) approved dementia qualification.  Innovations had been made in the education programme with six caregivers with Level four qualifications delivering education sessions to their fellow workers which added interest to education.</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RNs interRAI competent.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includes staff rationale and skill mix.  Sufficient staff are rostered to manage the care requirements of the residents.  A clinical operations manager is on-site three and a half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home/hospital (eighteen rest home and seventeen hospital residents) is staffed with one RN each shift.  A second RN is on-site two days a week (when the clinical operations manager is unavailable).  The dementia unit (14 residents) is overseen by the RN covering the rest home/hospital.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caregivers in the dementia unit and rest home/hospital.  The night shift is staffed with two caregivers in the rest home/hospital (plus the RN) and one caregiver in the dementia unit.  Extra staff can be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residents have individual electronic medication orders with photo identification and allergy status documented.  All medicines are stored securely when not in use.  A verification check is completed by the RN against the resident’s medicine order when new medicines are supplied from the pharmacy.  </w:t>
            </w:r>
          </w:p>
          <w:p w:rsidR="00EB7645" w:rsidRPr="00BE00C7" w:rsidP="00BE00C7">
            <w:pPr>
              <w:pStyle w:val="OutcomeDescription"/>
              <w:spacing w:before="120" w:after="120"/>
              <w:rPr>
                <w:rFonts w:cs="Arial"/>
                <w:b w:val="0"/>
                <w:lang w:eastAsia="en-NZ"/>
              </w:rPr>
            </w:pPr>
            <w:r w:rsidRPr="00BE00C7">
              <w:rPr>
                <w:rFonts w:cs="Arial"/>
                <w:b w:val="0"/>
                <w:lang w:eastAsia="en-NZ"/>
              </w:rPr>
              <w:t>Short-life medications (i.e., eye drops and ointments) are dated once opened.  Education on medication management has occurred with competencies conducted for the registered nurse and senior healthcare assistants with medication administration responsibilities.  Administration sheets sampled were appropriately signed.  Ten medication charts reviewed identified that the GP/NP had seen the resident three-monthly and the medication chart was signed each time a medicine was administered by staff.  A registered nurse was observed administering medications and followed correct procedures.  One resident self-administer medicines and has a current competency assessment around this.  They have access to secure storage in their rooms.  Staff check each shift that these residents have safely self-administered their medications and record this on the medication administration sheet.  This is an improvement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Kenwyn Rest Home are prepared and cooked on-site.  There is a food services manual in place to guide staff.  The verified food safety plan expires 6 April 2019.  There is a four-weekly seasonal menu.  The cook receives dietary information for new residents and is notified of any dietary changes, weight loss or other dietary requirements by the RN.  Food allergies and dislikes are listed in the kitchen.  Special diets such as diabetic desserts, vegetarian, pureed and alternative choices for dislikes are accommodated.  Cultural and religious food preferences are met.  Snacks are available to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plated and served from the kitchen to the rest home and hospital residents in the dining room and to the residents in the dementia unit.  Staff were observed assisting residents with their meals and drinks.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End cooked food temperatures are recorded daily.  Dry goods are stored in dated sealed containers.  Chemicals are stored safely.  Cleaning schedules are maintained.  The dishwasher is checked regularly by the chemical supplier.  All staff who work in the kitchen have completed or are currently completing their food safety course.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specialised crockery such as lip plates, mugs and utensils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feedback on the menu and food services through the resident meeting and resident surveys.  Residents and family members interviewed were very satisfied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described the support required to meet the resident’s goals and needs.  Interventions were documented in sufficient detail to meet the residents’ needs.  Care plans reviewed included: the care of an indwelling catheter; management of a resident with insulin; a resident with MRSA; restraint management; and skin care, all of which were documented well.  This is an improvement from the previous audit.  The management of behaviours that challenge, triggers and managing a calm environment were documented in the two resident files reviewed from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 care plans sampled identified allied health involvement.  The interRAI assessment process informs the development of the resident’s care plan.  Residents and their family/whānau interviewed reported that they are involved in the care planning and review process.  Short-term care plans are in use for changes in health status.  The service uses the interRAI care plan template.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goal orientated.  The staff interviewed stated that they have sufficient equipment and supplies to provide care.  Resident weights were noted to be monitored monthly or more frequently if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with six wounds at the time of the audit.  There were no identified pressure injuries.  Assessments, management plans and documented reviews were in place for all wounds.  </w:t>
            </w:r>
          </w:p>
          <w:p w:rsidR="00EB7645" w:rsidRPr="00BE00C7" w:rsidP="00BE00C7">
            <w:pPr>
              <w:pStyle w:val="OutcomeDescription"/>
              <w:spacing w:before="120" w:after="120"/>
              <w:rPr>
                <w:rFonts w:cs="Arial"/>
                <w:b w:val="0"/>
                <w:lang w:eastAsia="en-NZ"/>
              </w:rPr>
            </w:pPr>
            <w:r w:rsidRPr="00BE00C7">
              <w:rPr>
                <w:rFonts w:cs="Arial"/>
                <w:b w:val="0"/>
                <w:lang w:eastAsia="en-NZ"/>
              </w:rPr>
              <w:t>Specialist nursing advice is available from the DHB as needed.  A physiotherapist is available as required to assist with mobility assessments and the exercise programme.</w:t>
            </w:r>
          </w:p>
          <w:p w:rsidR="00EB7645" w:rsidRPr="00BE00C7" w:rsidP="00BE00C7">
            <w:pPr>
              <w:pStyle w:val="OutcomeDescription"/>
              <w:spacing w:before="120" w:after="120"/>
              <w:rPr>
                <w:rFonts w:cs="Arial"/>
                <w:b w:val="0"/>
                <w:lang w:eastAsia="en-NZ"/>
              </w:rPr>
            </w:pPr>
            <w:r w:rsidRPr="00BE00C7">
              <w:rPr>
                <w:rFonts w:cs="Arial"/>
                <w:b w:val="0"/>
                <w:lang w:eastAsia="en-NZ"/>
              </w:rPr>
              <w:t>Monitoring records sighted (weights, food and fluids and turning charts) were consistently completed.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activities team is led by a diversional therapist and three activities coordinators.  The programme operates five days a week 7 days in the dementia unit.  There is a separate programme for residents in the dementia unit.  Each resident has an individual activities assessment on admission, which is incorporated into the interRAI assessment process.  An individual activities plan is developed for each resident by the activities coordinators, in consultation with the registered nurses.  There is a 24-hour activity plan documented for residents in the dementia unit.  Each resident is free to choose whether they wish to participate in the group activities programme or their individual plan.  Participation is monitored.  Group activities reflect ordinary patterns of life and include at least weekly planned visits to the community.  All long-term resident files sampled have a recent activity plan within the care plan and this is reviewed at least six-monthly when the care plan is evaluated, or a further interRAI assessment occurs.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commented positively on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reassessed using the interRAI process at least six-monthly or if there has been a significant change in their health status.  Long-term care plans are then evaluated and rewritten or updated.  There was documented evidence that care plan evaluations were current in resident files sampled.  The files sampled documented that the GP or NP had reviewed residents three-monthly (for those that had been at the service longer than three months) or when requested if issues arise, or their health status changes.  The registered nurses interviewed explained the communication process with the GP.  Short-term care plans were evident for the care and treatment of residents and had been evaluated and closed or transferred to the long-term care plan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including the dementia unit.  This is an improvement from the previous audit.  Safety data 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which expires April 2019.  There is a maintenance person employed 20 hours per week to address the reactive and planned maintenance programme.  All medical and electrical equipment was recently serviced and/or calibrated.  Hot water temperatures are monitored and managed within 43-45 degrees Celsius.  The facility has sufficient space for residents to mobilise using mobility aids.  External areas are well maintained.  Residents have access to safely designed external areas that have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A number of outstanding maintenance issues were noted during the previous audit.  These have all been addressed.  They include addressing the showers in the dementia unit; the floor under the commercial washing machine; flaky paint on the ceiling above the commercial dish washer in the kitchen; the cupboards in the dementia unit; the bench under the hand basin in room 78; chipped paint in various areas; dirty carpets; and a malodour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Kenwyn’s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all staff meetings.  If there is an emergent issue, it is acted upon in a timely manner.  Reports are easily accessible to the clinical operations manager.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Four residents have a restraint (bedsides as a restraint and one resident was using a lap belt) and two enablers were in use.  An assessment was completed, and written consent was provided by the resident for the use of enablers.  Long-term care plans reflected their use, care interventions and the risks.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their understanding of the differences between a restraint and an enabler.</w:t>
            </w:r>
          </w:p>
          <w:p w:rsidR="00EB7645" w:rsidRPr="00BE00C7" w:rsidP="00BE00C7">
            <w:pPr>
              <w:pStyle w:val="OutcomeDescription"/>
              <w:spacing w:before="120" w:after="120"/>
              <w:rPr>
                <w:rFonts w:cs="Arial"/>
                <w:b w:val="0"/>
                <w:lang w:eastAsia="en-NZ"/>
              </w:rPr>
            </w:pPr>
            <w:r w:rsidRPr="00BE00C7">
              <w:rPr>
                <w:rFonts w:cs="Arial"/>
                <w:b w:val="0"/>
                <w:lang w:eastAsia="en-NZ"/>
              </w:rPr>
              <w:t>Staff receive regular training around restraint minimisation that begins during their induction to the service.  A restraint competency questionnaire is completed by staff each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 M &amp; D L Beer Holdings Limited - Kenwyn Rest Home &amp; Hospital</w:t>
    </w:r>
    <w:bookmarkEnd w:id="58"/>
    <w:r>
      <w:rPr>
        <w:rFonts w:cs="Arial"/>
        <w:sz w:val="16"/>
        <w:szCs w:val="20"/>
      </w:rPr>
      <w:tab/>
      <w:t xml:space="preserve">Date of Audit: </w:t>
    </w:r>
    <w:bookmarkStart w:id="59" w:name="AuditStartDate1"/>
    <w:r>
      <w:rPr>
        <w:rFonts w:cs="Arial"/>
        <w:sz w:val="16"/>
        <w:szCs w:val="20"/>
      </w:rPr>
      <w:t>12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