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Bob Scott Retirement Village Limited - Bob Scott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Bob Scott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Bob Scott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November 2018</w:t>
      </w:r>
      <w:bookmarkEnd w:id="7"/>
      <w:r w:rsidRPr="009418D4">
        <w:rPr>
          <w:rFonts w:cs="Arial"/>
        </w:rPr>
        <w:tab/>
        <w:t xml:space="preserve">End date: </w:t>
      </w:r>
      <w:bookmarkStart w:id="8" w:name="AuditEndDate"/>
      <w:r w:rsidR="00A4268A">
        <w:rPr>
          <w:rFonts w:cs="Arial"/>
        </w:rPr>
        <w:t>23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Bob Scott provides rest home, dementia and hospital level care for up to 145 residents (including rest home level care across 30 serviced apartments).  At the time of the audit there were 107 residents in total.</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village manager at Bob Scott has been in the role for one year and has 10 years of management experience at another Ryman facility.  She is supported by an assistant to the manager and a clinical manager.  The clinical manager been in the position for two years and has worked at Bob Scott for three years.  The management team is supported by the Ryman management team including regional manager.</w:t>
      </w:r>
    </w:p>
    <w:p w:rsidRPr="00A4268A">
      <w:pPr>
        <w:spacing w:before="240" w:line="276" w:lineRule="auto"/>
        <w:rPr>
          <w:rFonts w:eastAsia="Calibri"/>
        </w:rPr>
      </w:pPr>
      <w:r w:rsidRPr="00A4268A">
        <w:rPr>
          <w:rFonts w:eastAsia="Calibri"/>
        </w:rPr>
        <w:t xml:space="preserve">The service has addressed the three of four findings from the previous audit around meetings, interRAI assessments and an aspect of medication.  There continues to be an improvement required care plan intervention.      </w:t>
      </w:r>
    </w:p>
    <w:p w:rsidRPr="00A4268A">
      <w:pPr>
        <w:spacing w:before="240" w:line="276" w:lineRule="auto"/>
        <w:rPr>
          <w:rFonts w:eastAsia="Calibri"/>
        </w:rPr>
      </w:pPr>
      <w:r w:rsidRPr="00A4268A">
        <w:rPr>
          <w:rFonts w:eastAsia="Calibri"/>
        </w:rPr>
        <w:t>This audit identified one improvement required around pain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Relative and resident meetings are held regularly.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 village manager, assistant to the manager and clinical manager are responsible for the day-to-day operations.  Goals are documented for the service with evidence of regular reviews.  Bob Scott has a well-established quality and risk management system that is directed by Ryman Christchurch.  Quality and risk performance is reported across the various facility meetings and to the organisation's management team.  Bob Scott provides clinical indicator data for the three services being provided (rest home, dementia and hospital).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assesses, plans and reviews residents' needs, outcomes and goals with the resident and/or family input.  Care plans viewed demonstrate service integration and are evaluated at least six monthly.  Resident files included medical notes by the contracted general practitioners and visiting allied health professionals.  Medication policies reflect legislative requirements and guidelines.  Registered nurses, enrolled nurses and senior caregivers are responsible for the administration of medicines.  Medication charts are reviewed three monthly by the GP.  The activities team implements the activity programme in each unit to meet the individual needs, preferences and abilities of the residents.  Residents are encouraged to maintain community links.  There are regular entertainers, outings and celebrations.  All meals and baking are done on-site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as evidenced in the two resident files with restraints reviewed.  At the time of the audit there were no residents using any enablers and one resident with a restraint in use.  Staff receive training around restraint minimisation and enabler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uses the information obtained through surveillance to determine infection control activities, resources and education needs within the facility.  The service engages in benchmarking with other Ryman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8"/>
        <w:gridCol w:w="1280"/>
        <w:gridCol w:w="104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Bob Scott facility.  The village manager has overall responsibility for ensuring all complaints (verbal or written) are fully documented and investigated.  The clinical manager and operations manager are involved in clinical complaints.  The facility has an up-to-date complaint register for each unit.  Concerns and complaints are discussed at relevant meetings.  There have been 16 complaints made in 2017 since the last audit and 16 complaints received in 2018 year to date.  </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of internal investigations and family meetings with resolution for all complaints.  Complaints have been acknowledged and addressed within the required timeframes.  Two of the complaints in 2018 were made through the HDC; the service has completed investigations for both complaints with no further action required for one of the complaints, an HDC letter on 26 October 2018 confirming this and the other complaint is ongoing, as the service are awaiting a response from HDC to a follow-up letter dated 12 August 2018.</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a complaint that included advanced care planning.  This audit has not identified issues around advanced care planning; however, shortfalls were identified around pain management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and reporting forms that guide staff to their responsibility to notify family of any resident accident/incident that occurs.  Twelve incident forms reviewed for October 2018 evidenced the family had been informed of the accident/incident.  Five relatives (one rest home, two hospital and two dementia care) interviewed, stated that they are informed when their family members health status changes.  Six monthly relative meetings occur in each of the units (rest home, hospital and dementia care).  Six residents (all rest home including one in the serviced apartments) interviewed, stated that they were welcomed on entry and were given time and explanation about the services and procedures.  Specific introduction information is available on the dementia unit for family, friends and visitors to the unit.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Scott is a Ryman healthcare retirement village providing rest home, hospital and dementia level care for up to 145 residents.  The facility is across five levels, which includes 34 rest home level beds on level four, 41 dual-purpose beds (hospital and rest home) on level three and 40 dementia level beds (two 20 bed wings) on level two.  The service has 30 serviced apartments certified as able to provide rest home level care.  Level one and level five are serviced apartments only.  There was one resident receiving rest home care in the serviced apartments at the time of the audit.  Occupancy during the audit was 107 residents in total, 38 rest home level residents (including five in the dual-purpose beds and one in the serviced apartments), 34 hospital level residents, including two residents on respite care and one resident on a younger person with disabilities (YPD) contract and 35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The organisation-wide objectives are translated at each Ryman service by way of the teamRyman programme that includes a schedule across the year.  The village quality objectives and quality initiatives for 2018 have been set with evidence of monthly reviews and quarterly reporting to head office on progress towards meeting these objectives.  Evidence in staff and management meeting minutes reflect discussions around the 2018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Bob Scott has been in the role for one year and has ten years of management experience at another Ryman facility.  She is supported by an assistant to the manager, who carries out administrative functions, and a clinical manager who oversees clinical care and support for the village manager.  The clinical manager been in the position for two years and has worked at Bob Scott for three years.  The managers are supported by a unit coordinator in each unit.  The management team is also supported by the Ryman management team including the regional manager.  The regional manager was present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attends the annual Ryman managers’ conference and manager forums and the clinical manager has attended a Ryman leadership programme and clinical seminars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Scott has a well-established quality and risk management system that is directed by Ryman Christchurch.  Quality and risk performance is reported across the facility meetings and to the organisation's management team.  The meeting schedule has been adhered to and any required actions are followed up or completed.  The previous finding around staff meetings has now been addressed.  Discussions with the management team and review of management and staff meeting minutes, demonstrated their involvement in quality and risk activities.  Resident meetings are held two-monthly in each wing and family meetings are held six-monthly.  Audit summaries and quality improvement plans (QIP) are completed where a non-compliance is identified.  QIPs reviewed for 2017 and 2018 have been closed out once resolved.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Bob Scott provides clinical indicator data for the three services being provided (rest home, dementia and hospital).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A resident/relative satisfaction survey was completed in July 2018 with a positive overall satisfaction outcome.  Quality improvement plans evidenced that suggestions and concerns were addressed around laundry, activities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The health and safety officer (facility manager) was interviewed.  He has completed specific external health and safety training.  Health and safety/infection control meetings are conducted bi-monthly.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management, teamRyman and staff meetings.  Falls prevention strategies are in place that include; ongoing falls assessment, routine checks of all residents specific to each resident’s needs (intentional rounding), encouraging resident participation in the activities programme and the use of sensor mats.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twelve incident/accidents forms identified timely RN review and follow-up.  Neurological observations were completed for four resident falls reviewed for unwitnessed falls or with potential head injury.  The clinical manager is involved in the adverse event process, with links to the regular management meetings and informal meetings.  This provides the opportunity to review any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were able to identify situations that would be reported to statutory authorities.  Four section 31 notification reports were sighted since the last audit for one stage three pressure injury in September 2018 and two unstageable pressure injuries in August and September 2018 and one police investigation (missing resident) in July 2108.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Seven staff files reviewed (one clinical manager, one unit-coordinator, one RN, three caregivers and one activities coordinator) included a signed contract, job description relevant to the staff members role, induction, application form and reference checks.  All files reviewed included annual performance appraisals with eight-week reviews completed for three newly appointed staff.  A register of RN practising certificates is maintained.  Practicing certificates for other health practitioners are retained to provide evidence of registration.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in place for 2018 and exceeds eight hours annually.  There is an individual staff member record of training.  Staff are also required to complete a series of comprehension surveys each year.  Registered nurses (RN) are supported to maintain their professional competency.  Ten of fourteen RNs have completed their interRAI training.  There are implemented competencies specific to RNs and caregivers related to specialised procedures and/or treatment including medication competencies and insulin competencies.  There are eighteen caregivers who work in the dementia unit.  Twelve caregivers have completed the dementia standards and the six caregivers in progress of completing have commenced work in the last 18 months.  A QIP is in place to ensure that the training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and clinical manager, work fulltime Monday to Friday and are on call 24/7.  The rest home, hospital and dementia units in the care centre has a RN unit coordinator and the certified serviced apartments for rest home level care has a EN unit coordinator.  There is at least one RN and first aid trained member of staff on every shift.  Interviews with caregivers informed the RNs are supportive and approachable.  In addition, they reported there are sufficient staff on duty at all times.  Interviews with residents and relatives indicated that overall there was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Staffing at Bob Scott is as follows: In the hospital unit (41 beds) on level three, there were 34 hospital and five rest home residents.  There is a unit coordinator/RN who is supported by two RNs on duty on the morning and afternoon shifts, and one RN on night shift.  There are eight caregivers (four long and four short shifts) and a fluids assistant on the morning shift, seven caregivers (three long and four short shifts) and three caregivers on night shift.  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(34 beds) on level four, there are 32 rest home residents.  There is a unit coordinator/RN who is supported by four caregivers (two long and two short shifts) and on the morning and afternoon shifts, and two caregivers on the night shift.  The RNs in the hospital oversee the rest home unit on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(40 beds, two wings of 20) on level two, there were 35 dementia residents.  There is a unit coordinator/RN who is supported by one RN on duty on the morning and afternoon shifts.  They are supported by four caregivers (two long and two short shifts) on the morning shift, five caregivers (two long and three short shifts) and three caregivers on night shift.  The RNs in the hospital oversee the dementia unit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(30 beds) there was one rest home level resident.  There is a unit coordinator/EN who is supported by two caregivers (one long and one short shift) on the morning shift and three caregivers (one long and two short shifts) on the afternoon shift.  The rest home caregivers and hospital RN cover the serviced apartments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Registered nurses, enrolled nurse and senior caregivers have completed annual medication competencies and education.  Registered nurses have completed syringe driver training.  Medications are stored safely in all units (hospital, rest home, dementia care unit and serviced apartments).  All regular medications (blister packs) are checked on delivery by RNs against the electronic medication chart.  A bulk supply order is maintained for hospital level residents.  All medications were within the expiry dates.  Eyedrops and ointments are dated on opening.  The medication fridges are checked daily, and temperatures sighted were within the acceptable range.  There was one rest home resident and three hospital level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were stored safely in the residents’ rooms.  Three monthly self-medication competencies had been completed by the RN and authorised by the GP.  Twelve medication charts on the electronic medication system and two paper-based medication charts (of respite residents) were reviewed.  All charts identified an allergy status.  All long-term resident charts on the electronic system had photo identification.  Medication charts for long-term residents had been reviewed at least three monthly by the GP.  ‘As required’ medications had indications for use prescribed.  The effectiveness of ‘as required’ medications is recorded in the progress notes and on the electronic medication system.  There were no residents prescribed oxygen on the day of audit.  The previous finding around oxygen prescribing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is supported by an evening chef, cook’s assistants and kitchenhands/dishwashers.  All have completed food safety and hygiene training.  The head chef oversees the procurement of the food and management of the kitchen.  The food control plan has been verified and expires 9 May 2019.  The project delicious menus have been reviewed by a dietitian.  The menu provides three options including a vegetarian option for the midday meal and dinner.  The meals are plated in the kitchen and transported to the unit kitchenettes in hot boxes.  Changes to residents’ dietary needs are communicated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and likes and dislikes were known.  Special equipment such as lipped plates are available.  There are protein platters and snacks available at all times in the dementia unit.  Kitchen fridge and freezer temperatures were monitored and recorded twice daily.  End-cooked food temperatures and serving temperatures are monitored and recorded.  Residents and family members interviewed were satisfied with the meals.  Residents have the opportunity to feedback on the service through resident meetings, food comment books and surveys.  Management liaise regularly with the head chef to monitor feedback and identify any areas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resident-centred.  Interventions documented support needs as assessed though the interRAI assessments and risk assessment tools and provide detail to guide care, however two residents with new pain did not have a pain management plan in place.  The previous finding around pain management remains.  There was a behaviour management plan in the two files of dementia care residents that included interventions and strategies for de-escalation including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MyRyman care plans are updated when there are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wound nurse specialist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r w:rsidRPr="00BE00C7">
              <w:rPr>
                <w:rFonts w:cs="Arial"/>
                <w:b w:val="0"/>
                <w:lang w:eastAsia="en-NZ"/>
              </w:rPr>
              <w:t>Ryman complete advance care planning section of the Vcare plans as sighted in the long-term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Two RN unit coordinators, one enrolled nurse unit coordinator and two RNs interviewed stated that they notify family members about any changes in their relative’s health status.  Family members interviewed confirmed they are notified of any changes to the health of their relative.   Conversations and relative notifications are recorded in the electronic progress notes.  Care plans overall have been updated as residents’ needs changed (link 1.3.5.2).  Care staff interviewed stated there are adequate clinical supplies and equipment provided, including continence and wound care supplies.  Wound assessment, wound management and evaluation forms are documented electronically, and wound monitoring occurs as planned in the sample of wounds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four facility acquired pressure injuries, including two stage two and two stage one pressure injuries.  A RN in the hospital is the wound nurse champion for the facility and reviews wounds regularly.  There is access to a wound nurse specialist as required.  Photos of wounds demonstrate healing progress.  Pressure injury prevention equipment is available and is being used.  Caregivers document changes of position and pressure cares electronically.  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officers (all qualified diversional therapists – DT), activity assistants and lounge carers implement the Engage activities programme in each unit that reflects the physical and cognitive abilities of the resident groups.  The activity team (DT) implement a Monday to Friday programme in the rest home and a seven-day programme in the hospital and the two dementia care units.  The dementia care DT is supported by a lounge carer to enable activities to be provided across both units.  There is a weekly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happy hours, baking, men’s group and activities and walks/wheelchair walks outside for less independent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residents were observed to be independently using the lift to visit the café and walks in the gardens.  Residents in the dementia care unit are taken on supervised walks in the mornings and afternoons.  The rest home resident in a serviced apartment can choose to attend the serviced apartment or rest home activity programme.  Those residents who prefer to stay in their room or who need individual attention have one-on-one visits to check if there is anything they need and to have a chat.  There are volunteers from the village involved in activities such as scrabble and one-on-one time with residents.  There are integrated activities and combined church services.  Themes and events are celebrated.  Community visitors include mother and baby groups, pre-school children, musical entertainers, kapa haka group and beauty therapy students.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hires a mobility van for hospital outings.  The service has a van for the rest home and dementia care outings.  Residents attend functions in the community and visit places of interest including scenic drives.  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long-term resident care plans had been evaluated by the RNs six monthly or when changes to care occurs.  One hospital level resident had not been at the service long enough for an evaluation.  The respite care resident does not require an evaluation of care.  The multidisciplinary review involves the RN, GP, CG, DT and resident/family if they wish to attend and any other allied health professional involved in the resident’s care such as the physiotherapist.  There are three-monthly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15 March 2019.  There is a reactive and planned maintenance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officer (clinical manager) completes a monthly report identifying any trends/analysis and corrective actions.  Monthly data is reported to the monthly combined infection prevention and control/health and safety meetings.  Staff are informed of infection control through the variety of facility meetings and toolbox talks.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appropriate procedures and documents for the safe assessment, planning, monitoring and review of restraint and enablers.  Restraint practices are only used where it is clinically indicated and justified, and other de-escalation strategies have been ineffective.  At the time of the audit there were no residents using any enablers and one hospital resident with restraint in use (chair brief).  Staff receive training around restraint minimisation and enabler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8"/>
        <w:gridCol w:w="1280"/>
        <w:gridCol w:w="5263"/>
        <w:gridCol w:w="2966"/>
        <w:gridCol w:w="15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documented interventions for the management of pressure injury risk, prevention of weight loss, falls prevention interventions, behaviour management and pain management for chronic pain, however there were no documented interventions for two residents with new pain.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pain assessments or documented pain management plans for two residents (one rest home and one dementia care) who required GPs visits and analgesia.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long-term care plans are updated to include interventions for pain management.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Bob Scott Retirement Village Limited - Bob Scott</w:t>
    </w:r>
    <w:bookmarkEnd w:id="58"/>
    <w:r>
      <w:rPr>
        <w:rFonts w:cs="Arial"/>
        <w:sz w:val="16"/>
        <w:szCs w:val="20"/>
      </w:rPr>
      <w:tab/>
      <w:t xml:space="preserve">Date of Audit: </w:t>
    </w:r>
    <w:bookmarkStart w:id="59" w:name="AuditStartDate1"/>
    <w:r>
      <w:rPr>
        <w:rFonts w:cs="Arial"/>
        <w:sz w:val="16"/>
        <w:szCs w:val="20"/>
      </w:rPr>
      <w:t>22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