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Ashwood Park Lifecare (2012) Limited - Ashwood Park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Ashwood Park Lifecare (2012)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Ashwood Park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December 2018</w:t>
      </w:r>
      <w:bookmarkEnd w:id="7"/>
      <w:r w:rsidRPr="009418D4">
        <w:rPr>
          <w:rFonts w:cs="Arial"/>
        </w:rPr>
        <w:tab/>
        <w:t xml:space="preserve">End date: </w:t>
      </w:r>
      <w:bookmarkStart w:id="8" w:name="AuditEndDate"/>
      <w:r w:rsidR="00A4268A">
        <w:rPr>
          <w:rFonts w:cs="Arial"/>
        </w:rPr>
        <w:t>4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has been verified as suitable to provide medical services under their current hospital certification.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Arvida Ashwood Park Lifecare is part of the Arvida aged care residential group.  The rest home provides rest home, hospital and dementia level of care for up to 121 residents in the care centre and up to 35 residents at rest home level in the serviced apartments.  On the day of the audit there were 115 residents.  The service is operated by two managers with eleven years aged care experience.  They are supported by an experienced facility clinical manager, quality manager and national quality manager.  There is a stable workforce.  The residents, relatives and allied health professionals interviewed spoke positively about the care and services provided at Ashwood Park.</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nurse practitioner, psychogeriatric consultant and hospice nurse. </w:t>
      </w:r>
    </w:p>
    <w:p w:rsidRPr="00A4268A">
      <w:pPr>
        <w:spacing w:before="240" w:line="276" w:lineRule="auto"/>
        <w:rPr>
          <w:rFonts w:eastAsia="Calibri"/>
        </w:rPr>
      </w:pPr>
      <w:r w:rsidRPr="00A4268A">
        <w:rPr>
          <w:rFonts w:eastAsia="Calibri"/>
        </w:rPr>
        <w:t xml:space="preserve">The service has been awarded a continuous improvement rating around good practice and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Staff at Ashwood Park Lifecare strive to ensure that care is provided in a way that focuses on the individual, values residents' autonomy and maintains their privacy and choice.  The service functions in a way that complies with the Health and Disability Commissioner’s Code of Consumers’ Rights (the Code).  The service promotes the attitude of living well (wellness) and introduction of the household model.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Ashwood Park Lifecare has a current strategic plan and a quality assurance and risk management programme that outlines objectives for the next year.  The quality process being implemented includes regularly reviewed policies.  Quality projects are implemented.  Quality data is reported to the bi-monthly staff and quality improvement meetings.  There is an annual internal audit calendar schedule.  Residents and relatives are provided the opportunity to feedback on service delivery issues at bi-monthly resident meetings and via annual satisfaction surveys.  There is a reporting process being used to record and manage resident incidents.  Incidents are collated monthly and reported to facility meetings.  The service has an orientation programme in place that provides new staff with relevant information for safe work practice.  The in-service education plan for 2018 is being completed as per schedule.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in electronic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senior caregivers responsible for administration of medicines complete annual education and medication competencies.  The medicine charts reviewed met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activity team provide and implement an interesting and varied activity programme for each level of care.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and additional requirements/modified needs were being met.  There are nutritional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There is a mix of bedrooms that have ensuites and communal use of toilets/showers.  Rooms are personalised.  Documented policies and procedures for the cleaning and laundry services are implemented with appropriate monitoring systems in place to evaluate the effectiveness of these services.  Documented systems are in place for essential, emergency and security services.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Ashwood Park Lifecare has restraint minimisation and safe practice policies and procedures in place.  At the time of the audit, the service had eight residents using eleven restraints and seven residents using enablers.  A clinical manager is the designated restraint coordinator.  Assessed risks are documented in care plans.  Ongoing restraint assessments, monitoring and evaluation occurs.  The service and organisation regularly review restraint use and strive to minimise the use of restraint.  Staff receive training around restraint minimisation and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41"/>
        <w:gridCol w:w="1280"/>
        <w:gridCol w:w="93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twelve care staff (six HCAs, three clinical managers, one registered nurse (RN) and two diversional therapists) confirm their familiarity with the Code.  Interviews with nine residents (six rest home and three hospital) and six families (two hospital and four dementia care) confirm the services being provided are in line with the Code.  The Code is discussed at resident, staff and quality improvement meetings.  Staff have received training on the Code, last occurring in November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consent forms were evident on all resident files reviewed (four hospital including one younger person and one respite care, four rest home including one younger person and one resident in serviced apartments and three dementia care).   Specific consent had been signed by resident/relatives for procedures such as the influenza vaccine.  Discussions with staff confirmed that they are familiar with the requirements to obtain informed consent for entering rooms and personal care.  </w:t>
            </w:r>
          </w:p>
          <w:p w:rsidR="00EB7645" w:rsidRPr="00BE00C7" w:rsidP="00BE00C7">
            <w:pPr>
              <w:pStyle w:val="OutcomeDescription"/>
              <w:spacing w:before="120" w:after="120"/>
              <w:rPr>
                <w:rFonts w:cs="Arial"/>
                <w:b w:val="0"/>
                <w:lang w:eastAsia="en-NZ"/>
              </w:rPr>
            </w:pPr>
            <w:r w:rsidRPr="00BE00C7">
              <w:rPr>
                <w:rFonts w:cs="Arial"/>
                <w:b w:val="0"/>
                <w:lang w:eastAsia="en-NZ"/>
              </w:rPr>
              <w:t>Enduring power of attorney (EPOA) evidence is filed in the residents’ electronic charts.  The EPOAs had been activated in the three dementia care resident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for healthcare had been completed where residents were deemed to be competent.  Where residents were deemed incompetent to make a resuscitation decision, the GP had made a medically indicated resuscitation decision.  There was documented evidence of discussion with the family.   Discussion with family members identifies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have received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There has been a focus on inter-generational partnerships with community agencies which have included visiting pre-school and schoolchildren.  On interview, staff stated that residents are encouraged to build and maintain relationships.  Residents and relatives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  Staff are aware of the complaints process and to whom they should direct complaints.  A complaints register is available.  Ten complaints (eight in 2018 year to date and two in 2017) have been received at Ashwood Park Lifecare since the last audit.  The complaints reviewed have been managed appropriately with acknowledgement, investigations and responses recorded.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made through the Health &amp; Disability Commissioner (HDC) in May 2017 has been investigated with a corrective action plan implemented and signed off.  There was no further action required as confirmed in an HDC letter dated 25 June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village manager, facility nurse manager or clinical manager discusses the information pack with the resident and the family/whānau.  The information pack incudes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Residents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in place.  There was one resident (dementia care) that identified as Māori at the time of the audit.  The file of the resident identified as Māori was reviewed and included a specific Māori health care plan.  The service has established links with the local Iwi.  Cultural and spiritual practice is supported and identified needs are incorporated into the care planning process.  Discussions with the HCAs confirm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Staff receive training on cultural 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and families interviewed spoke positively about the care and support provided.  Staff interviewed had a sound understanding of principles of aged care and stated that they feel supported by the management team.  Arvida is operationalising their vision ‘to transform the ageing experience’ within the care communities through the introduction of the wellness/household model.  A dance exercise video was developed by the rest home clinical manager following research into dance and was found to delay the onset of dementia.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wellness/household model focuses on the relationship between the care team and the resident as partners in the pursuit of a rich and meaningful life.  Ashwood Park Lifecare introduced the wellness/household model in September 2018.  The emphasis is on supporting each resident to live well and be actively engaged in their life the way they want it to be.  Residents are supported within the care communities by decentralised self-led teams of employees that together create home, nurture relationships, determine their own lives and build community.  Residents are encouraged and supported to create a comfortable living space suited to their particular needs and personal tastes.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Fifteen incident/accidents (eight hospital, three rest home and four dementia level of care) forms reviewed for October 2018 had documented evidence of family notification or noted if family did not wish to be informed.  Relatives interviewed confirmed that they are notified of any changes in their family member’s health status.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Ashwood Park Lifecare is part of the Arvida Group.  The service provides hospital, rest home and dementia level care for up to 121 residents and rest home level care for up to a further 35 residents in serviced apartments.  On the day of the audit, there were 115 residents in total (40 hospital level residents, including 2 residents on respite care and 2 on younger persons with disabilities’ (YPD) contracts; 44 rest home residents, including 2 on YPD contracts; and 9 rest home residents in the 35 serviced apartments.  There were 22 residents in the 26-bed dementia unit.  All other residents were admitted under the aged residential related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village managers (husband and wife).  One village manager looks after the operational and financial management and the other village manager covers the HR management, property and maintenance requirements.  The village managers have previously managed aged care facilities for 11 years and owned Ashwood Park Lifecare prior to the purchase by the Arvida Group in 2014.  The village managers are supported by a facility nurse manager.  The facility nurse manager has been at the service for three years.  She is supported by a unit clinical manager in each of the three units (hospital, rest home and dementia care), all of who are qualified and experienced for the roles.  There are two-unit clinical managers in the dementia unit who job share.  Additionally, the management team includes a quality manager who is also the education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managers’ report to the Arvida senior management team on a variety of operational issues and provides a monthly report.  Arvida has an overall business/strategic plan.  The organisation has a philosophy of care, which includes a mission statement.  Ashwood Park Lifecare has a business plan 2018/2019 and a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managers and facility nurse manager have completed in excess of eight hours of professional development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managers, the facility nurse manager or quality manager are in charge.  Support is provided by the clinical managers and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system in place at Ashwood Park Lifecare which is designed to monitor contractual and standards compliance.  There is a 2018/2019 business/strategic plan that includes quality goals and risk management plans for Ashwood.  The quality and risk management system support improved resident outcomes and identifies where improvement is needed.  One of the village managers is responsible for providing oversight of the quality and risk management system on-site, which is also monitored at an organisational level.  Interviews with staff confirmed that there is discussion about quality data at various facility meetings.  Arvida Group policies are reviewed at least every two years across the group.  Head office sends out new/updated policies for staff to read.  The service policies and processes meet relevant standards including those required to meet residents’ medical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Areas of non-compliance identified through quality activities are actioned for improvement.  All staff interviewed could describe the quality programme corrective action process.  Restraint and enabler use (when used) is reported within the bi-monthly quality improvement and clinical/RN meetings.  Residents/relatives are surveyed to gather feedback on the service provided and the outcomes are communicated to residents, staff and families.  A resident/relative satisfaction survey was completed in March 2018.  Corrective actions have been established in areas where improvements were identified (eg, food/meals and activities).  Resident/family meetings occur bi-monthly and the results of the satisfaction survey have been discussed at the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Risk management, hazard control and emergency policies and procedures are being implemented and are monitored by the Health and Safety Committee.  The quality manager is the health and safety officer and has completed specific health and safety training in her role.  Hazard identification forms and an up-to-date hazard register is in place which was last reviewed in August 2018.  Falls prevention strategies are implemented including identifying residents at higher risk of falling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facility nurse manager investigates accidents and near misses and analysis of incident trends occurs.  There is a discussion of incidents/accidents at bi-monthly staff meetings including actions to minimise recurrence.  An RN conducts clinical follow up of residents.  Fifteen incident forms reviewed demonstrated that appropriate clinical follow up and investigation occurred following incidents.  Neurological observation forms were documented and completed for four reviewed unwitnessed falls or potential head injuries.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confirmed that there is an awareness of the requirement to notify relevant authorities in relation to essential notifications.  There have been 12 section 31 incident notifications required since the last audit.  There were three notifications for police investigations (one missing resident in November 2018 and two resident behaviours in August and May 2018).  Eight pressure injuries (two stage IV in April and May 2018, one stage III in October 2018 and five unstageable pressure injuries (two in September and three in November 2018) and one health and safety risk (bits of plastic found in a pureed food) in September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 that relevant checks are completed to validate the individual’s qualifications, experience and veracity.  Twelve staff files were reviewed (one facility nurse manager, three clinical managers, two RNs, five HCAs and one diversional therapist).  There is evidence that reference checks were completed before employment was offered.  Annual staff appraisals were evident in ten staff files reviewed with the other two staff new to the service.  A copy of practising certificates is kept.  The service has an orientation programme in place that provides new staff with relevant information for safe work practice.  The orientation programme includes video and e-learning on all aspects of the facilities procedures.  Completed orientation is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2018 year to date is being completed.  Arvida has introduced an online training programme for staff.  Discussions with the HCAs and RNs confirmed that online training through Altura is available.  Eight hours of staff development or in-service education has been provided annually.  There are 12 RNs and 9 have completed interRAI training.  Registered nurses have appropriate training and competencies to meet the medical needs of residents, including palliative care.  There are 16 HCAs who work routinely in the dementia unit and 12 have completed the dementia standards.  Four HCAs are in the process of completing and have all commenced work within the last 18 months.  The Arvida group hosts two conferences per year for village managers and clinical managers to promote the updating of skills and knowledge.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Ashwood Park Lifecare’s policy includes staff rationale and skill mix.  Sufficient staff are rostered on to manage the care requirements of the residents.  The service has a total of 131 staff in various roles.  Staffing rosters were sighted and there is staff on duty to match needs of different shifts.  The village managers and facility nurse manager work 40 hours per week, Monday to Friday and are available on-call after hours.  In addition, there are three-unit clinical managers (hospital, rest home and dementia care).  There is at least one RN on at any one time.  Interviews with staff, residents and family members confirm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has 115 residents in total.  40 of 48 hospital residents, 44 of 47 rest home residents, 22 of 26 dementia care residents and 9 rest home residents across the 35 certified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there are 40 hospital and 3 rest home residents.  The hospital clinical manager is supported by two RNs on the morning and afternoon shifts and one RN on night duty.  There are eight HCAs rostered on the morning, seven HCAs on the afternoon shift and three HCAs on night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there are 41 rest home residents.  The rest home clinical manager is supported one RN on the morning and afternoon shifts.  There are five HCAs rostered on the morning, four HCAs on the afternoon shift and two HCAs on night duty.  The hospital RN covers the rest home unit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care unit there are 22 residents.  The dementia clinical manager is supported by four HCAs rostered on the morning shift, three on the afternoon shift and one HCA on night duty.  The hospital RNs cover the dementia unit on the afternoon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there are nine rest home residents and there is a separate roster with two HCAs on the morning shift and one HCA on the afternoon shift.  The HCA in the rest home supervises the rest home level care residents in the serviced apartments on the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and password protected on computers.  Other residents or members of the public cannot view sensitive resident information.  Entries in records are legible and dated by the relevant HCA or RN.  Electronic records are integrated and include input from GPs and allied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including rest home, hospital and dementia level of care are provided for families and residents prior to admission or on entry to the service.   Two files of younger persons included an assessment confirming the appropriate level of care and a needs assessment approval.  All admission agreements reviewed (for long-term residents) align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Clinical staff who administer medications (RNs, enrolled nurses and senior caregivers) have been assessed for competency on an annual basis and attend annual medication education.  Registered nurses have completed syringe driver training.  Medications are stored safely in each unit.  All medication (blister packs) are checked on delivery against the medication chart with documented evidence on the electronic medication charts.  The medication fridges are checked daily and are maintained within the acceptable temperature range.  All eye drops sighted in the medication trolleys were dated on opening.  There is a bulk supply order for hospital level residents.  There were two rest home residents and one hospital resident self-medicating on the day of audit.  Self-medication competencies had been completed on eCase and reviewed three-monthly.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Twenty-two medication charts reviewed met prescribing requirements.  The medication charts had been reviewed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meals and baking are prepared and cooked on-site by a contracted service.  The head chef is supported by a weekend cook and catering assistants.  Food services staff have completed orientation on recruitment and ongoing training.  There is a four-weekly spring/summer menu in place that has been reviewed by the dietitian.  The menu provides a vegetarian option and pureed/soft meals.  The chef receives resident dietary profiles and notified of any dietary changes.  Smoothies, complan and fortified foods are provided for any residents identified with weight loss.  Resident dislikes/allergies are accommodated, and alternative foods offered.  There are additional foods and nutritious snacks provided for residents in the dementia care unit.  Meals are delivered in a hot box to the hospital, serviced apartments and dementia dining rooms.  The kitchen is adjacent to the rest home dining room for the serving of meals.  The HCAs serve continental breakfasts to residents in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Freezer, fridge and end cooked, re-heating (as required) and serving temperatures are taken and recorded twice daily.  The dishwasher rinse and wash temperatures are taken and recorded.  All perishable foods and dry goods were date labelled.  A cleaning schedule is maintained.  Staff were observed to be wearing appropriate personal protective clothing.  The current food control plan has been verified and expires 16 May 2019.   </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resident meetings and resident survey.  The head chef attends resident meetings.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interim care plan on admission including relevant risk assessment tools.  Risk assessments are completely six-monthly or earlier due to health changes.  InterRAI assessments and long-term care plans were completed within the required timeframes for long-term residents including the younger persons.  An interim assessment and care plan had been completed for the one resident for respite care.  The outcomes of assessments are reflected in the needs and supports documented in the care plans.  Other available information such as discharge summaries, medical notes and consultation with resident/relative or significant others are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plans reviewed on the resident electronic system for long-term residents were resident-focused and individualised.  Support needs as assessed were included in the long-term care plans reviewed.  The eCase programme identifies interventions that cover a comprehensive set of goals including managing medical needs/risks.  Care plans for the younger persons included the involvement of allied health and community workers to assist the residents in meeting their specific goals around wellbeing.  Key symbols on the resident’s electronic home page identify current and acute needs such as (but not limited to): current infection, wound or recent fall.  Any short-term changes are made to the electronic care plan using the fast edit option.   There was evidence of allied health care professionals involved in the care of the resident including physiotherapist, podiatrist, dietitian and community mental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reflect the required health monitoring interventions for individual residents.  Computers in each nurse’s station allows caregivers the opportunity to sign a task has been completed (eg, resident turns, bowel chart, behaviour chart restraint monitoring).  Monitoring charts are well utilised.   Electronic care plans are updated for changes to health.  Resident falls are reported electronically and recorded in the progress notes.  Neurological observations are completed for unwitnessed falls or falls where residents hit their heads.  Family are notified of all changes to health as evidenced in the electronic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 there are adequate clinical supplies and equipment provided including continence, wound care supplies and pressure injury prevention resources.  There is access to a continence specialist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wound management plans and photos were reviewed on eCase for 14 residents (skin tears, abrasions and pressure injuries).  There were four hospital level residents and two rest home residents with pressure injuries on the day of audit (one stage I, one stage II (on admission), two stage II and two healing stage III).  When wounds are due for a change of dressing, a task is automated on the RN daily schedule.  The district wound nurse has been involved in the management of complex or non-healing wounds.  Caregivers document changes of position on eCase.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are completed on the electronic system, such as: pain; observations; behaviour; weight; food and fluids; neurological observations; and re-positioning.  Worklogs for the caregivers and RNs record cares and monitoring is completed as outlined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team of five diversional therapists (DT) to coordinate and implement the Monday to Friday activity programme in the studio apartment, rest home and hospital unit.  The DT in the dementia care unit works a ‘four on, four off’ roster and the HCAs coordinate and implement activities in the dementia unit as part of their role.  A volunteer DT is involved in assisting with activities and facilitates the men’s group in the rest home/hospital and the dementia are unit.  Each unit has a programme and there are some integrated activities including fortnightly church services, entertainment and men’s club.  The armchair travel club has proven popular with the rest home residents in the studios and rest home and meet weekly.  Theme days and special occasions are celebrated.  Residents are assisted to attend the activities.  There are plenty of resources available for care staff to implement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provide individual and group activities that meets the cognitive and physical abilities and preferences of the residents.  Activities include (but not limited to): exercise groups; dance exercises; newspaper reading; board games; crafts; baking; reminiscing; music; bowls; beauty time; happy hour; movies; gardening; and garden walks.  One-on-one activities such as individual walks, newspaper reading, and hand massage occur for residents who choose not to be involved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Activities in the dementia unit are flexible, home-based (baking, folding washing, sweeping floors) and are meaningful to the residents.  Activity suggestions for residents is displayed and resources are plentiful.  Cooked breakfasts are provided in the dementia unit which generate conversations, socialisation and reminiscing for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completes an individual under 65 years activity plan in consultation with the younger person that identifies their specific recreational preferences and community involvement.  The younger persons choose to attend group activities and there is one-on-one time spent with them such as shopping or activities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entertainers and community visitors including: churches; preschool children; school children for their reading programme; Red Cross volunteers for one-on-one visiting; and weekly pet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outings/scenic drives for all residents and shopping trips.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leisure profile is completed soon after admission.  Individual leisure plans were seen in resident electronic files.  The activity coordinators are involved in the six-monthly review with the RN.  The service receives feedback and suggestions for the programme through resident integrated meetings (rest home and hospital), family meetings in the dementia care unit and annual surveys.  The residents and relatives interviewed were happy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interim care plans for long-term residents were evaluated by the RN within three weeks of admission.  Long-term care plans have been evaluated by the RN six-monthly or earlier for any health changes for the long-term resident files reviewed.  Family are invited to attend the multidisciplinary review meeting and case conference notes are kept.  Written evaluations reviewed identified if the resident goals had been met or unmet.  The GP reviews the residents at least three-monthly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Referral to other health and disability services is evident in the resident files reviewed.  The service facilitates access to other medical and non-medical services.  Referral documentation is maintained on resident files.  Discussion with the registered nurses identified that the service has access to a wide range of support either through the GP, specialists and allied health services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in each unit.  Cleaning chemicals are dispensed through a pre-mixing unit in locked cleaners’ rooms.  Safety data sheets and product sheets are available.  Sharps containers are available and meet the hazardous substances regulations for containers.  Gloves, goggles and aprons are available for staff and they were observed to be wearing these as they carried out their duties on the day of audit.  There are sluice rooms in each unit (one with a sanitizer) with appropriate personal protective clothing.  A chemical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 July 2019.  The building is two levels with 14 of 35 serviced apartments upstairs with lift and stair access.  The remaining serviced apartments, rest home, hospital and dementia care units are on the ground floor.  There is a maintenance person who works full-time and is supported by the village managers.  The maintenance person is on the Health and Safety Committee and holds a site safety certificate.  There is a maintenance request book in each nurse’s station which is checked daily for repair and maintenance requests.  There is a planned maintenance schedule that includes electrical testing and tagging, and resident equipment checks and calibrations such as wheelchairs, hoists, weigh scales and electric beds.  Monthly hot water tests are completed for resident areas and are below 45 degrees Celsius.  The maintenance person and the village managers share the on-call for facility concerns.  Essential contractors are available 24 hours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corridors are wide and promote safe mobility with the use of mobility aids.  Residents were observed moving freely around the areas with mobility aids where required.  The external areas and gardens were well maintained.  All outdoor areas have seating and shade.  There is safe access to all communal areas.  There is one outdoor area for a resident who smokes.  All other areas are smoke-free.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garden is safely fenced.  Doors from the dining and lounge areas open out onto the gardens with a walking pathway.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serviced apartments have full ensuites.  There is a mix of ensuited resident rooms and communal bathrooms/showers in the rest home, hospital and dementia care units.  Fixtures, fittings and flooring are appropriate.  Toilet/shower facilities are easy to clean.  There is sufficient space in toilet and shower areas to accommodate shower chairs if appropriate.  There are signs and privacy locks on all shower/toilet doors.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in the rest home, hospital and dementia unit.  Activities occur in the larger areas and the smaller areas are spaces where residents who prefer quieter activities or visitors may sit.  There are spacious dining rooms and lounges in each unit.  The dementia unit has an alternative dining/activity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and cleaning are done by dedicated housekeeping staff seven days a week.  There is a laundry and cleaning manual and safety data sheets available.  The laundry is divided into a “dirty” and “clean” area with two doors (entry and exit).  There is a separate clean laundry folding and ironing room.  Personal protective equipment is available.  Cleaning and laundry services are monitored through the internal auditing system and the chemical provider, who also monitors the effectiveness of chemicals and the laundry/cleaning processes.  The cleaner’s trolley was attended at all times or locked away when not in use.  All chemicals on the cleaner’s’ trolley were labelled.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emergency/disaster management plan in place to ensure health, civil defence and other emergencies are included.  Six-monthly fire evacuation practice documentation was sighted, with the last fire evacuation drill occurring on 24 October 2018.  All RNs hold a current first aid certificate.  There is an approved NZ Fire Service evacuation scheme in place, letter dated 22 August 1994.  A contracted service provides checking of all facility equipment including fire equipment.  Fire training and security situations are part of orientation of new staff and include competency assessments.  Emergency equipment is available at the facility.  Short-term backup power for emergency lighting is in place for up to four hours.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well prepared for civil emergencies with civil defence and spill kits and a store of emergency water (water tank and bottled water) and one BBQ and gas hobs in the kitchen for alternative cooking.  The service has a generator on-site.  Emergency food supplies sufficient for three days are kept in the kitchen.  There is a store cupboard of supplies necessary to manage a pandemic/outbreak.  There are call bells in the residents’ rooms, and lounge/dining room areas.  Residents were observed to have their call bells in close proximity.  The facility is secured at night.  The service utilises security cameras.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with some resident rooms and communal rooms opening out onto the internal courtyards.  There is underfloor heating and ceiling panels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is the infection control coordinator with responsibility of overseeing infection control management for the facility.  The infection control coordinator provides a monthly report to the quality meeting and bi-monthly report to head office.  The infection control programme is reviewed annually in consultation with the Infection Control Committee.  The last review was February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Hand sanitizers are appropriately placed throughout the facility.  Residents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the MOH infection prevention and control online course in July 2018.  The infection control committee comprise of three representatives including a rest home RN, dementia care RN and dementia care clinical manager.  There are signed job descriptions for the infection control coordinator and committee members.  The committee meet three-monthly and the meeting minutes are available in the staff room which staff read and sign.  There are adequate resources to implement the infection control programme for the size and complexity of the organisation.  Advice and support are readily available from expertise within the organisation, infection control nurse specialist at the DHB, laboratory technician, nurse practitioner and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for the size and complexity of the service.  The infection control manual outlines a comprehensive range of policies, standards and guidelines and includes responsibilities of the infection control team and training and education of staff.  The policies have been reviewed by the Arvida Group at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on orientation and annually that includes infection control induction, hand hygiene audits and infection control competencies.  Resident education occurs as part of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database.  Surveillance of all infections is entered onto a monthly infection summary.  The service receives a monthly antibiotic use form from the pharmacy.  This data is monitored and analysed for trends monthly and annually.  Infection control surveillance is discussed at facility meetings and meeting minutes are displayed for staff.  Internal infection control audits are completed with corrective actions for areas of improvement.  The service receives benchmarking feedback from head office.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At the time of the audit, there were eight residents with eleven restraints, and seven residents using enablers.  Enabler use is voluntary.  All necessary assessments and evaluations had been completed in relation to the restraints.  Policies and procedures include definition of restraint and enabler that are congruent with the definition in NZS 8134.0.  Restraint has been discussed as part of quality improvement meetings.  Staff receive training around restraint minimisation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hospital clinical manager is the designated restraint coordinator.  Assessment and approval process for restraint use included the restraint coordinator, RNs, resident/or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assessments for residents who require restraint or enabler interventions.  These were undertaken by suitably qualified and skilled staff in partnership with the family/whānau.  The restraint coordinator, the resident and/or their representative and a medical practitioner were involved in the assessment and consent process.  In the three restraint and two enabler resident files reviewed, assessments and consents were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An assessment form/process is completed for all restraints and enablers.  The three restraint and two enabler resident files reviewed had a completed assessment form and a care plan that reflected risk.  Monitoring forms included regular two-hourly monitoring.  The service has a restraint and enablers register, which was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completed by the restraint coordinator at least three-monthly or earlier if required.  A review of three restraint and two enabler resident files identified that evaluations are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at least three-monthly as part of the medical review with the resident/family/whanau, as appropriate.  Restraint usage is monitored regularly by the restraint coordinator.  Corrective actions are monitored.  Restraint is discussed at the quality improvement meetings.  Individual restraint use is monitored and recorded by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1814"/>
        <w:gridCol w:w="89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observed that some residents in the rest home were not socialising due to cognitive deficits limiting their self-motivation in exercise or activity.  There were also behaviours that challenged within the group of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surveillance audit, the rest home clinical manager has been studying research around the effects of “tapping” and dance on the reduction of challenging behaviours when sessions were offered for 20-30 minutes a day.  A site-specific dance video was created by staff for residents.  There had been increasing resident attendance at the daily dance exercises and the sessions were open to all rest home residents (including serviced apartments).  During the last six months of dance exercises, a downward trend in challenging behaviours was noted with zero in recent months, for the rest home residents identified with cognitive deficits.  It was further identified that an exercise video be developed focused on improving mobility, strength and balance as part of the DHB falls prevention programme.  The rest home clinical manager, in conjunction with the community ACC physiotherapist and residents, developed the second video which gives step by step instructions for residents to follow.  The interaction with residents and their families has been successful and there are recorded videos of relative interviews and feedback on their relatives physical and emotional improvement and wellbeing.  The facility contracted physio is consulted prior to residents attending such as respite post-surgical or residents with limited mobility.  An example of physical improvement for one resident was viewed on video from limited shoulder movement to free shoulder movement over a period of three months.  The service entered the DHB Health Innovation award in November 2018 and won the award evidencing the success of this innovative project and the positive impact on the lives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therapy staff meet with residents regularly to discuss feedback on the programme and discuss other activities and suggestions for the programme.  The rest home and serviced apartment residents suggested visiting other countries from their armchairs, so they could feel included in the outside world and other adventures.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Armchair Travel Club started as an informal gathering to discuss countries the residents would like to travel and how this was going to be achieved from their armchairs.  The residents visited the airport to obtain their passports.  A large picture of an aeroplane with residents faces in the windows is posted on a large wall in the rest home/serviced apartment area.  This has encouraged more residents to join the armchair travel club (up to 20 residents) which meet weekly and has extended from a short journey to an around the word trip.  Every two weeks the group stop at a country and spend time learning/sharing information about that country.  Residents and families are encouraged to share souvenirs and artefacts from their own travels.  At each stop the country national flower, cultural identify and flags are displayed.  Authentic foods are sourced and shared.  Examples are when the group stopped at Switzerland and as well as learning about the country and sampling authentic foods, a St Bernard dog and lace makers visited; and when the group stopped at Egypt, a resident’s family visited dressed in the national costume.  A survey of the armchair travel group in September 2018 returned 15 very positive responses with the group now planning a three-month cruise.  A slide show was entered into the NZDT conference which won first place.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Ashwood Park Lifecare (2012) Limited - Ashwood Park Retirement Village</w:t>
    </w:r>
    <w:bookmarkEnd w:id="58"/>
    <w:r>
      <w:rPr>
        <w:rFonts w:cs="Arial"/>
        <w:sz w:val="16"/>
        <w:szCs w:val="20"/>
      </w:rPr>
      <w:tab/>
      <w:t xml:space="preserve">Date of Audit: </w:t>
    </w:r>
    <w:bookmarkStart w:id="59" w:name="AuditStartDate1"/>
    <w:r>
      <w:rPr>
        <w:rFonts w:cs="Arial"/>
        <w:sz w:val="16"/>
        <w:szCs w:val="20"/>
      </w:rPr>
      <w:t>3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