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Pururi Court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Puriri Court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January 2019</w:t>
      </w:r>
      <w:bookmarkEnd w:id="7"/>
      <w:r w:rsidRPr="009418D4">
        <w:rPr>
          <w:rFonts w:cs="Arial"/>
        </w:rPr>
        <w:tab/>
        <w:t xml:space="preserve">End date: </w:t>
      </w:r>
      <w:bookmarkStart w:id="8" w:name="AuditEndDate"/>
      <w:r w:rsidR="00A4268A">
        <w:rPr>
          <w:rFonts w:cs="Arial"/>
        </w:rPr>
        <w:t>30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Puriri Court Rest Home and Hospital, Whangarei, provides rest home and hospital level care for up to 74 residents.  The service is operated by Heritage Lifecare Limited (HLL) and is managed by a facility manager and a clinical services manager.  Changes since the last audit relate to a new clinical services manager, changes to the clinical structure to include a unit coordinator and the introduction of an electronic reporting system.  Residents and families spoke positively about the care provided.</w:t>
      </w:r>
    </w:p>
    <w:p w:rsidRPr="00A4268A">
      <w:pPr>
        <w:spacing w:before="240" w:line="276" w:lineRule="auto"/>
        <w:rPr>
          <w:rFonts w:eastAsia="Calibri"/>
        </w:rPr>
      </w:pPr>
      <w:r w:rsidRPr="00A4268A">
        <w:rPr>
          <w:rFonts w:eastAsia="Calibri"/>
        </w:rPr>
        <w:t>The audit was conducted against the Health and Disability Services Standards and the service’s contract with the DHB.  The audit process included review of policies and procedures, review of residents’ and staff files, observations and interviews with residents, family members, managers, staff, and a general practitioner.  This audit included follow up on issues raised by complaints to the district health board (DHB) and Health and Disability Commissioner (HDC).</w:t>
      </w:r>
    </w:p>
    <w:p w:rsidRPr="00A4268A">
      <w:pPr>
        <w:spacing w:before="240" w:line="276" w:lineRule="auto"/>
        <w:rPr>
          <w:rFonts w:eastAsia="Calibri"/>
        </w:rPr>
      </w:pPr>
      <w:r w:rsidRPr="00A4268A">
        <w:rPr>
          <w:rFonts w:eastAsia="Calibri"/>
        </w:rPr>
        <w:t>This audit identified areas requiring improvement related to documentation of service delivery and staff training.  Improvements have been made to communication, clinical governance and environmental issues raised in the complaints reviewed.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a policy on open disclosure and evidence of this occurring was sighted.  Open communication between staff, residents and families is promoted, communication was confirmed as being improved since complaints were lodged related to this area.  There is access to interpreting services if required.   </w:t>
      </w:r>
    </w:p>
    <w:p w:rsidRPr="00A4268A">
      <w:pPr>
        <w:spacing w:before="240" w:line="276" w:lineRule="auto"/>
        <w:rPr>
          <w:rFonts w:eastAsia="Calibri"/>
        </w:rPr>
      </w:pPr>
      <w:r w:rsidRPr="00A4268A">
        <w:rPr>
          <w:rFonts w:eastAsia="Calibri"/>
        </w:rPr>
        <w:t>The organisation has system in place to promote feedback from residents and family members and investigate and plan corrective actions in relation to complaints.  A complaints register is maintained with complaints being investigated and resolution sought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Heritage Lifecare Limited undertakes strategic planning which is used to guide facility specific business and quality and risk management plans.  These contain the vision, core values and goals.  Reporting by the facility manager and clinical services manager to Heritage Lifecare Limited occurs weekly and monthly.   </w:t>
      </w:r>
    </w:p>
    <w:p w:rsidRPr="00A4268A">
      <w:pPr>
        <w:spacing w:before="240" w:line="276" w:lineRule="auto"/>
        <w:rPr>
          <w:rFonts w:eastAsia="Calibri"/>
        </w:rPr>
      </w:pPr>
      <w:r w:rsidRPr="00A4268A">
        <w:rPr>
          <w:rFonts w:eastAsia="Calibri"/>
        </w:rPr>
        <w:t xml:space="preserve">The suitably qualified manager is supported by a clinical services manager and unit coordinator.  The clinical services manager and unit coordinator are registered nurses.  </w:t>
      </w:r>
    </w:p>
    <w:p w:rsidRPr="00A4268A">
      <w:pPr>
        <w:spacing w:before="240" w:line="276" w:lineRule="auto"/>
        <w:rPr>
          <w:rFonts w:eastAsia="Calibri"/>
        </w:rPr>
      </w:pPr>
      <w:r w:rsidRPr="00A4268A">
        <w:rPr>
          <w:rFonts w:eastAsia="Calibri"/>
        </w:rPr>
        <w:t xml:space="preserve">The quality and risk management system includes the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A suite of policies and procedures cover the necessary areas, were current, reviewed regularly and as needed. </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An orientation and an annual staff training programme are in place.  Annual appraisals are undertaken. </w:t>
      </w:r>
    </w:p>
    <w:p w:rsidRPr="00A4268A">
      <w:pPr>
        <w:spacing w:before="240" w:line="276" w:lineRule="auto"/>
        <w:rPr>
          <w:rFonts w:eastAsia="Calibri"/>
        </w:rPr>
      </w:pPr>
      <w:r w:rsidRPr="00A4268A">
        <w:rPr>
          <w:rFonts w:eastAsia="Calibri"/>
        </w:rPr>
        <w:t>Staffing levels and skill mix meet contractual requirements and the needs of residents.  Senior staff are on call after hours and at weekends.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within time frames that safely meet the needs of the residents and contractual requirements.</w:t>
      </w:r>
    </w:p>
    <w:p w:rsidRPr="00A4268A" w:rsidP="00621629">
      <w:pPr>
        <w:spacing w:before="240" w:line="276" w:lineRule="auto"/>
        <w:rPr>
          <w:rFonts w:eastAsia="Calibri"/>
        </w:rPr>
      </w:pPr>
      <w:r w:rsidRPr="00A4268A">
        <w:rPr>
          <w:rFonts w:eastAsia="Calibri"/>
        </w:rPr>
        <w:t xml:space="preserve">Residents have interRAI assessments completed and care plans are then developed.  Short-term plans are developed, for example, for infections and wound management.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seasonal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which is displayed at the entrance to the building.  No major building changes have occurred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residents were identified as using enablers and four using restraints at the time of audit.  Staff demonstrated a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7"/>
        <w:gridCol w:w="1280"/>
        <w:gridCol w:w="103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meets the requirements of Right 10 of the Code.  Information on the complaint process is provided to residents and families on admission.  A suggestion box and compliments/complaints and suggestions forms are available at reception.  Residents and family members described who they would go to if they had an issue.  They were highly complementary of the services they or their family member were receiving.  Staff spoke of identifying issues and dealing with them at the lowest possible level where they could or referring onto the facility manager or clinical services manager (CSM).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records compliments (62 in 2018) and has a complaints register.  The facility manager is responsible for complaints management and follow up.  Review of complaints showed that 13 complaints have been received in 2018, eight DHB complaints were received between 2017 and 2018 and two HDC complaints.  Of these, all DHB complaints are now closed and the organisation has provided information to the HDC and is awaiting the HDC outcome.  The complaints register, plus detailed files on the investigations showed relevant timeframes being met.  Action plans showed any required follow up and improvements have been made where possible.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Included in the audit, issues identified in the DHB and HDC complaints were followed up. The issues related to: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lack of effective facility leadership, a lack of effective clinical governance and supervision of the direct care staff.  </w:t>
            </w:r>
          </w:p>
          <w:p w:rsidR="00EB7645" w:rsidRPr="00BE00C7" w:rsidP="00BE00C7">
            <w:pPr>
              <w:pStyle w:val="OutcomeDescription"/>
              <w:spacing w:before="120" w:after="120"/>
              <w:rPr>
                <w:rFonts w:cs="Arial"/>
                <w:b w:val="0"/>
                <w:lang w:eastAsia="en-NZ"/>
              </w:rPr>
            </w:pPr>
            <w:r w:rsidRPr="00BE00C7">
              <w:rPr>
                <w:rFonts w:cs="Arial"/>
                <w:b w:val="0"/>
                <w:lang w:eastAsia="en-NZ"/>
              </w:rPr>
              <w:t>Timely initiation and coordination of the required care and support interventions, (e.g. up to date care plans which also include information such as recent discharge letters and other prescribed treatments).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provision of timely information and effective communication with the resident and their families regarding care, evidenced timely follow up following discussions with residents/families.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Environment: - quality of bedrooms, and safety of external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 – ensuring special food and nutrition requirements are available to meet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have undertaken corrective action in relation to the areas of concern and this has been effective in most areas.  Ares identified that require improvement relate to timely initiation and coordination of the required care and support interventions, refer criteria 1.3.3.4.  Areas of training were suggested in the recommendations of some of the complaints and evidence related to these are reported in criteria 1.2.7.5.</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lack of timely and effective communication with relatives was raised in complaints to the DHB and HDC by family members.  The facility manager spoke of changes in staffing which she stated has seen a difference in approach to family members with positive effects.  She also stated and provided evidence of family meetings being organised on an ongoing basis to discuss issues raised.  Discussions with staff on communication occurred during staff meetings to raise an awareness of good communication.  Residents and family members spoken with were complimentary of the communication between them and staff.  They stated they were kept well informed about any changes to their/their relative’s status, were advised in a timely manner about any incidents or accidents and outcomes of regular and any urgent medical reviews.  This was supported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and understood the principles of open disclosure, which was supported by policies and procedures that meet the requirements of the Code and evidence of application was reviewed in one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interpreter services policy and brochures for interpreter services were available at the entrance to the facility.  The facility manager stated that all residents spoke English and if she had a need for an interpreter, she would contact the DHB.  Two family members spoke of their relatives having English as a second language, but that they have spoken English for many years and no interpreting services were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HLL have a strategic plan which forms the basis for the facility specific business plan.  The facility manager provided a copy of the business plan for 2018-2019, which was signed off by the HLL operations manager.  There is a vision, core values and goals and quality objectives set out in the quality and risk plan and in other documents.  The facility manager and interim facility manager, who was visiting and giving support to the facility manager,  stated these are reviewed annually at the HLL conference attended by senior management.  A sample of weekly and monthly reports to the HLL national office showed adequate information to monitor performance is reported including financial performance, staffing, clinical indicators and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manager who has a background in a range of areas including administration, with a certificate in small business and a care of the elderly certificate.  She has experience in the aged care setting for over ten years within various roles and stated she commenced her present position in 2014 having worked in the facility in another role.  The position description outlines the various delegated authorities and responsibilities held by the manager.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supported by the CSM and unit coordinator who are registered nurses, who hold relevant clinical roles and provide reports on clinical indicators.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and MoH for young persons with physical disability (YPD), respite care, rest home and hospital level care.  Sixty four residents were receiving services under these contracts, with four under the YPD contract, one respite resident, twenty six rest home and thirty three hospital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2018-20 quality and risk plan reflects the principles of continuous improvement.  This is overseen by the facility manager and a quality committee who meet monthly.  Monthly reporting to the HLL national quality and compliance manager occurs related to quality and clinical indicators; incidents and complaints, annual audit activities, family and general practitioner satisfaction survey, monitoring of outcomes, clinical incidents (including infections, pressure injuries, falls, skin tears), and quality projects.  The CSM stated, targets are set for these indicators and benchmarking with other HLL facilities occurs.  Residents’ meetings occur, led by the activities staff and are attended in part by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meeting minutes reviewed identified all the expected elements of quality and risk are discussed, and where appropriate, corrective actions are undertaken and reported on at the next meeting until resolved.  Staff meeting minutes showed quality and risk being discussed and actions reported.  Minutes and reports are also available to staff in the staff room.  Residents’ survey results showed a high degree of satisfaction with the services being provided.  Issues identified at these meetings are addressed and reported at the next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HLL policies are available to staff via the intranet and hard copy manuals.  The manager spoke of how these are developed with input from the facility and signed off by the national office.  Policies reviewed covered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approval,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Review of the risk and hazard registers confirmed the process and the facility manager gave an example of updating the hazard register, from a DHB complaints issue.  The managers were able to provide evidence of training on the Health and Safety at Work Act (2015) and implementation being undertaken where requirements.   There is a health and safety committee with appropriate staff members and the minutes reviewed showed hazards being identified and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via the ‘eCase’ (electronic) system.  Most staff find reporting on the system easy to use, but a form can be used if preferred and the RN or CSM will then enter the event on the electronic system.  The CSM described how key words alert senior staff to specific incidents for investigation.  The eCase system does not allow for detailed reporting, this is done in the patient’s clinical notes.  A sample of the 20 reports lodged on the system this year, showed these were fully completed, sufficient detail being recorded in the clinical notes,  incidents were investigated, action plans developed and actions followed-up in a timely manner.  Adverse event data is collated, analysed and reported to the quality committee and national quality and compliance team.  </w:t>
            </w:r>
          </w:p>
          <w:p w:rsidR="00EB7645" w:rsidRPr="00BE00C7" w:rsidP="00BE00C7">
            <w:pPr>
              <w:pStyle w:val="OutcomeDescription"/>
              <w:spacing w:before="120" w:after="120"/>
              <w:rPr>
                <w:rFonts w:cs="Arial"/>
                <w:b w:val="0"/>
                <w:lang w:eastAsia="en-NZ"/>
              </w:rPr>
            </w:pPr>
            <w:r w:rsidRPr="00BE00C7">
              <w:rPr>
                <w:rFonts w:cs="Arial"/>
                <w:b w:val="0"/>
                <w:lang w:eastAsia="en-NZ"/>
              </w:rPr>
              <w:t>The CSM described essential notification reporting requirements, including for pressure injuries.  They advised there have been reporting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human resources management policies and processes are based on good employment practice and relevant legislation.  The recruitment process includes referee checks, police vetting and validation of qualifications and practising certificates (APCs), where required.   Two recently employed staff files were reviewed and showed not all documentation was present; however, this was amended during the audit.  A file is kept of all health professionals (nurses, podiatrist, general practitioner, dietitians and pharmacists) current APCs.   A further sample of staff records reviewed confirmed the organisation’s human resource policies are being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 workbook and working under supervision of a senior staff member.  The orientation contains all necessary components relevant to the role.  Staff reported that the orientation process is undertaken, but some stated they still did not feel prepared for their role.  In discussion with the manager, the three monthly performance review is used to identify any staff concerns and in one file reviewed no concerns were raised by the staff member.  The facility manager is to follow this up with staff.  Staff records reviewed showed documentation of completed orientation and a performance review after three-months.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Documented evidence that all staff have completed this training for 2018 was not available.  Health care assistants have either completed or commenced a New Zealand Qualification Authority education programme to meet the requirements of the provider’s agreement with the DHB.  The facility manger has been the internal assessor for these programmes.  There are sufficient trained and competent registered nurses who are maintaining their annual competency requirements to undertake interRAI assessments.  Records reviewed demonstrated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have a national policy, process and template used to determine staffing levels and skill mixes to provide safe service delivery, based on current guidelines.  This covers 24 hours a day, seven days a week (24/7). Rosters are completed two weeks in advance.  The CSM is responsible for the rostering of staff and described how staff are on a fixed roster but can request changes.  He spoke of how the facility adjusts staffing levels to meet the changing needs of residents and there is a ‘floating’ HCA on the morning to provide additional support.  There are two RNs on duty in the morning and afternoon shifts as well as the CSM and unit coordinator Monday to Friday morning, who also provide supervision and additional support to staff.  One RN is on night duty.  It was observed and staff spoke of having sufficient time to carry out the cares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which includes three senior RNs CSM, clinical coordinator and GP liaison RN).  The CSM and facility manager spoke of how they ensure supervision of junior RNs and support RNs after hours and at weekends by rostering senior RNs on call.  Staff reported that good access to advice is available when needed. Health care assistance (HCAs)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four-week of rosters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including the infection control processes required during medication management, for example, the use of hand gel between residents, use of gloves when administering eye drops to residents and the cleaning of spacers (to support inhalers) each evening by the night staff.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three-monthly GP review is consistently recorded on the medicine chart.  Standing orders are not used as the GP is available and has access to the medication electronic system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weekend cook and kitchen team, and is in line with recognised nutritional guidelines for older people.  The kitchen roster ensures that the chef or cook is on site from 7.00 am to 5.30 pm with support of a kitchen assistant from 7.30 am to 1.45 pm and in the evening from 4.00 pm through to 7.45 pm.  The menu follows summer and winter patterns and has been reviewed by a qualified dietitian within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Whangarei District council which expires 31 July 2019.  The service completed a verification audit with an excellence (A grading) which expires on the 28 February 2019.  Food temperatures, including for high risk items, are monitored appropriately and recorded as part of the plan.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for residents are made known to kitchen and care staff both verbally and with the support of an initial and updated nutritional profile, when necessary.  Long term care plans and supporting documents, such as an updated nutritional food profile and food/ fluid plans, were sighted in two residents’ files reviewed who have issues with swallowing and/or required a change in diet and/or support with eating their meals.  At the time of audit there were three residents requiring a soft diet and eight residents requiring a moulied diet.  Evidence of residents requiring support from a dietician and/or speech language therapist were also sighted.  The chef, cook and kitchen staff have not completed recent training in food handling training and modified diets (see criterion 1.2.7).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cooked on site and served by the chef and/or cook to residents in the hospital dining room and two further dining rooms with the support of ‘hot boxes’.  Residents also have the option of having meals in their bedrooms.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residents’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however, the care that the residents received was not always reflected in the care plans (see criterion 1.3.3.4).  The attention to meeting a diverse range of resident’s individualised needs was evident in all areas of service provision.  The GP interviewed, verified that medical input is sought in a timely manner, that medical orders are followed, and care provided is well managed.  A range of equipment and resources including allied health support was available, suited to the levels of care provided and in accordance with the residents’ needs.  Care staff interviewed knew the residents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activities co-ordinators who are both currently training to become diversional therapists.  The activity team support the residents Monday to Friday from 8.30 am to 4.30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Residents and families/whānau are involved in evaluating and improving the programme through residents’ meetings, day to day discussions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Each resident is provided with an activities calendar in their room and information is also highlighted on the main notice boards throughout the facility.  The activities team visit each resident every morning and remind the residents what is occurring for the day. For residents that choose not to partake in activities, one to one discussions and activities occur that are of interest to the resident.  The activities team interviewed stated that if they were concerned about a resident a discussion was had with the registered nurse and documented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find the programme interactive and of interest, in particular, the regular van trips in the community, the daily walking group, the facility’s mobile ice cream cart and visits to the library where the residents interact and read to the children.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InterRAI assessments were up to date for all residents but did not always reflect the resident’s current level of care (see criterion 1.3.3.4).   Where progress is different from expected, the service does not always respond by initiating changes to the plan of care. Examples of short-term care plans being consistently reviewed, and progress evaluated as clinically indicated were noted for infections  and wounds.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expires in December 2019.  The appropriate monitoring in relation to the certificate is being undertaken.  No changes to the building have occurred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person confirmed that ongoing and proactive maintenance is undertaken.  All equipment sighted had current test and tagging occurring.  External painting is scheduled for this year.  Environmental surveillance during audit identified that all areas visited were fit for purpose.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urinary tract infection, respiratory tract infection, skin, wound, eye, gastro enteritis and other infections.  All infections are reported and documented by the registered nurse/unit coordinator whom commenced the role of infection control co-ordinator in December of 2018 and is supported by the clinical services manager.  New infections and any required management plan are discussed at handover, to ensure early intervention occurs and short-term care plans are developed. </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Thirty-three (33) residents and 26 staff consented to the flu vaccine in May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a total of 71 infections from July 2018 through to and including December 2018.  Four (4) residents have been identified with eight of those 71 infections due to co-morbidities.    One resident has since deceased, the remaining three residents’ files reviewed highlighted short term and long-term care planning to reduce and minimise the risk of infection; however, not all short-term care plans showed appropriate interventions, other than to ‘complete the course of antibiotics’ (see criterion 1.3.3.4).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were actioned in December 2018 due to the increase in urinary tract infections from three to nine and chest infections from five to six.  Interventions included an increase in fluid rounds and a discussion with all staff re infection control.  Further training was provided covering indwelling catheters and physical assessments of residents.  The facility has been in contact with the infection control team at the DHB to support ongoing further training for staff.   Care staff interviewed demonstrated knowledge of residents who have a higher risk of infections and interventions.  Data is benchmarked internally within the group monthly. Benchmarking has provided assurance that infection rates in the facility are below average for the sector.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interviewed stated that the facility has not had an infectious outbreak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policy and procedures meet the requirements of the restraint minimisation and safe practice standards and provide guidance on the safe use of both restraints and enablers.  The CSM is the restraint coordinator and he provides support and oversight for enabler and restraint management in the facility and demonstrated a sound understanding of the organisation’s policies, procedures and practice and his role and responsibilities.  There is a committee who have been meeting annually to discuss restraint and enabler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four residents were using restraints and four residents were using enablers, which were the least restrictive and used voluntarily at their request. A similar process is followed for the use of enablers as is used for restraints.  Two residents’ files with enabler use were reviewed and showed monitoring of use of bed rails when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are aware of the difference between an enabler and a restraint and this is part of the orientation and ongoing training.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6697"/>
        <w:gridCol w:w="3254"/>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provided by the facility manager, CSM and interim facility manager, that HHL provide a range of training to meet the needs of the standard and contract requirements.  This includes online training modules, toolbox talks, a competency workbook, external speakers and opportunities to attend training outside the organisation.  These are identified on the 2018 and 2019 training plans, which were reviewed.  The main record of staff attendance at training for 2018 was incomplete for required areas.  The CSM also keeps records of attendance at the training and some records are kept in the staff member’s personnel files.  The recording list also contained staff who had left; these staff were discounted from the numbers where identified. The list does not state staff employed within the last three months, who will have undertaken some of the training as part of orientation.  </w:t>
            </w:r>
          </w:p>
          <w:p w:rsidR="00EB7645" w:rsidRPr="00BE00C7" w:rsidP="00BE00C7">
            <w:pPr>
              <w:pStyle w:val="OutcomeDescription"/>
              <w:spacing w:before="120" w:after="120"/>
              <w:rPr>
                <w:rFonts w:cs="Arial"/>
                <w:b w:val="0"/>
                <w:lang w:eastAsia="en-NZ"/>
              </w:rPr>
            </w:pPr>
            <w:r w:rsidRPr="00BE00C7">
              <w:rPr>
                <w:rFonts w:cs="Arial"/>
                <w:b w:val="0"/>
                <w:lang w:eastAsia="en-NZ"/>
              </w:rPr>
              <w:t>Shortfalls identified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Eight out of twelve RNs had evidence of current first aid certification.  This was noted, and RNs were to provide evidence of completion prior to coming on their next rostered duty. </w:t>
            </w:r>
          </w:p>
          <w:p w:rsidR="00EB7645" w:rsidRPr="00BE00C7" w:rsidP="00BE00C7">
            <w:pPr>
              <w:pStyle w:val="OutcomeDescription"/>
              <w:spacing w:before="120" w:after="120"/>
              <w:rPr>
                <w:rFonts w:cs="Arial"/>
                <w:b w:val="0"/>
                <w:lang w:eastAsia="en-NZ"/>
              </w:rPr>
            </w:pPr>
            <w:r w:rsidRPr="00BE00C7">
              <w:rPr>
                <w:rFonts w:cs="Arial"/>
                <w:b w:val="0"/>
                <w:lang w:eastAsia="en-NZ"/>
              </w:rPr>
              <w:t>- Recording of RN’s current InterRAI competency was not entered on the list - some were sighted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Wound care management - four out of twelve RNs have documented evidence of completion of wound care management.  This was an area recommended by a DHB complaint.  The CNM stated RNs were advised to complete the online training last year. </w:t>
            </w:r>
          </w:p>
          <w:p w:rsidR="00EB7645" w:rsidRPr="00BE00C7" w:rsidP="00BE00C7">
            <w:pPr>
              <w:pStyle w:val="OutcomeDescription"/>
              <w:spacing w:before="120" w:after="120"/>
              <w:rPr>
                <w:rFonts w:cs="Arial"/>
                <w:b w:val="0"/>
                <w:lang w:eastAsia="en-NZ"/>
              </w:rPr>
            </w:pPr>
            <w:r w:rsidRPr="00BE00C7">
              <w:rPr>
                <w:rFonts w:cs="Arial"/>
                <w:b w:val="0"/>
                <w:lang w:eastAsia="en-NZ"/>
              </w:rPr>
              <w:t>- Manual handling - 19 out of 58 (HCA, RNs and activities coordinators) are not recorded as having undertaken this training in 2018.  A training session for staff identified as not attending in 2018 occurred on the second day of audit.</w:t>
            </w:r>
          </w:p>
          <w:p w:rsidR="00EB7645" w:rsidRPr="00BE00C7" w:rsidP="00BE00C7">
            <w:pPr>
              <w:pStyle w:val="OutcomeDescription"/>
              <w:spacing w:before="120" w:after="120"/>
              <w:rPr>
                <w:rFonts w:cs="Arial"/>
                <w:b w:val="0"/>
                <w:lang w:eastAsia="en-NZ"/>
              </w:rPr>
            </w:pPr>
            <w:r w:rsidRPr="00BE00C7">
              <w:rPr>
                <w:rFonts w:cs="Arial"/>
                <w:b w:val="0"/>
                <w:lang w:eastAsia="en-NZ"/>
              </w:rPr>
              <w:t>- Attendance at fire and safety drills - 20 out of 67 staff named on the record had not attended a fire drill in 2018.</w:t>
            </w:r>
          </w:p>
          <w:p w:rsidR="00EB7645" w:rsidRPr="00BE00C7" w:rsidP="00BE00C7">
            <w:pPr>
              <w:pStyle w:val="OutcomeDescription"/>
              <w:spacing w:before="120" w:after="120"/>
              <w:rPr>
                <w:rFonts w:cs="Arial"/>
                <w:b w:val="0"/>
                <w:lang w:eastAsia="en-NZ"/>
              </w:rPr>
            </w:pPr>
            <w:r w:rsidRPr="00BE00C7">
              <w:rPr>
                <w:rFonts w:cs="Arial"/>
                <w:b w:val="0"/>
                <w:lang w:eastAsia="en-NZ"/>
              </w:rPr>
              <w:t>- Infection prevention and control - 44 out of 67 staff named on the record had not attended infection control training in 2018.  A training session for staff identified as not attending in 2018 occurred on the second day of audit.</w:t>
            </w:r>
          </w:p>
          <w:p w:rsidR="00EB7645" w:rsidRPr="00BE00C7" w:rsidP="00BE00C7">
            <w:pPr>
              <w:pStyle w:val="OutcomeDescription"/>
              <w:spacing w:before="120" w:after="120"/>
              <w:rPr>
                <w:rFonts w:cs="Arial"/>
                <w:b w:val="0"/>
                <w:lang w:eastAsia="en-NZ"/>
              </w:rPr>
            </w:pPr>
            <w:r w:rsidRPr="00BE00C7">
              <w:rPr>
                <w:rFonts w:cs="Arial"/>
                <w:b w:val="0"/>
                <w:lang w:eastAsia="en-NZ"/>
              </w:rPr>
              <w:t>Areas for training were identified in the recommendations from the DHB complaints review. These were: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HCA staff on the use of a new wet/dry vacuum cleaner for spills.  No record of training was available at audit and HCAs could not state having had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Training of kitchen and HCAs on the different types of modified diets.  Posters have been placed in the dinning areas and the kitchen, but no training related to this was able to be found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RNs have training on assertiveness and communication skills; no record of this was available during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which meets core and contract requirements.  However, it was identified, that not all staff had completed this training in 2018.  This included, infection prevention and control, manual handing and attending fire training.  Not all RNs had a current first aid certificate available.  </w:t>
            </w:r>
          </w:p>
          <w:p w:rsidR="00EB7645" w:rsidRPr="00BE00C7" w:rsidP="00BE00C7">
            <w:pPr>
              <w:pStyle w:val="OutcomeDescription"/>
              <w:spacing w:before="120" w:after="120"/>
              <w:rPr>
                <w:rFonts w:cs="Arial"/>
                <w:b w:val="0"/>
                <w:lang w:eastAsia="en-NZ"/>
              </w:rPr>
            </w:pPr>
            <w:r w:rsidRPr="00BE00C7">
              <w:rPr>
                <w:rFonts w:cs="Arial"/>
                <w:b w:val="0"/>
                <w:lang w:eastAsia="en-NZ"/>
              </w:rPr>
              <w:t>Training recommendations were identified through the DHB complaints review last year; however, evidence of this training being completed could not be seen during audit.   For example, kitchen and health care assistants have not had training on different types of modified diets, RN training on assertiveness and communication has not been completed and there was no evidence of training of the use of the new wet/dry vacuum.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record be kept of all staff training being undertaken.  All staff undertake the required core and contract required training within the specified time 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on the day of audit have an up to date interRAI assessment, long and short-term care plans.   Staff interviewed stated that they knew the residents very well and were able to identify and meet their needs.  Residents and family members interviewed stated that they were very happy with the care provided.  The number of residents’ files reviewed on the day of audit was extended from five to nine.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had a current interRAI assessment that stated the resident requires two people to assist with use of a transfer belt. This information had not been updated from the previous interRAI assessment as the resident now required the support of two people to assist with a hoist for all mobility transfers.  It was also noted that the resident had required the support of a hoist for four years.   At the time of audit, the same resident was observed on more than one occasion to be lying flat in their bed.  Due to the ongoing support of a nutritional supplement the resident required 30-minute checks to ensure that the resident was positioned appropriately at all times.  The electronic chart was updated at 30-minute intervals but there was no evidence documented to show what intervention and/or support was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were able to show evidence of an outcome for a resident who had been seen by a podiatrist and GP and referred to a specialist in a timely manner due to ongoing foot management requirements related to ulcers as a result of co-morbidities.  Staff interviewed were aware of and had implemented the interventions recommended by the specialist, with evidence of this recorded in the progress notes.  A short-term care plan created prior to the out-patients’ clinic also showed interventions.  Information had not been updated in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A resident’s electronic drug chart showed a prescription for the use of an oxygen concentrator pro re nata (PRN – as required) dated 20 October 2018. Information was recorded in the electronic device’s comments section and resident’s progress notes supporting the reason why and the expected outcome of the use of the equipment. This information had not been updated in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Due to a resident becoming acutely unwell, staff referred the resident to the public hospital on the 28 December 2018 having spoken to the GP and notifying the family.  The resident was discharged back to the facility the following day having commenced antibiotics.  The discharge summary was reviewed on the electronic database.  Progress notes documented a discussion with the GP and review of medications.  On return to the facility a short-term care plan was not completed to show that the resident had been commenced on antibiotics and that there were changes to medications to support ongoing pain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further three residents’ files reviewed showed short term care plans in place for infections, but the only intervention documented was for the resident to complete the course of antibiotics.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interRAI, long term care plans and/or short-term care plans reflected changes and current needs of the resident.  Not all residents charting showed the intervention that was provided at the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residents’ interRAI assessments and care plans reflect changes and provide interventions that identify and meet the current needs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Pururi Court Rest Home and Hospital</w:t>
    </w:r>
    <w:bookmarkEnd w:id="58"/>
    <w:r>
      <w:rPr>
        <w:rFonts w:cs="Arial"/>
        <w:sz w:val="16"/>
        <w:szCs w:val="20"/>
      </w:rPr>
      <w:tab/>
      <w:t xml:space="preserve">Date of Audit: </w:t>
    </w:r>
    <w:bookmarkStart w:id="59" w:name="AuditStartDate1"/>
    <w:r>
      <w:rPr>
        <w:rFonts w:cs="Arial"/>
        <w:sz w:val="16"/>
        <w:szCs w:val="20"/>
      </w:rPr>
      <w:t>29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