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(BPA) Limited - Telford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(BPA)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Telford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January 2019</w:t>
      </w:r>
      <w:bookmarkEnd w:id="7"/>
      <w:r w:rsidRPr="009418D4">
        <w:rPr>
          <w:rFonts w:cs="Arial"/>
        </w:rPr>
        <w:tab/>
        <w:t xml:space="preserve">End date: </w:t>
      </w:r>
      <w:bookmarkStart w:id="8" w:name="AuditEndDate"/>
      <w:r w:rsidR="00A4268A">
        <w:rPr>
          <w:rFonts w:cs="Arial"/>
        </w:rPr>
        <w:t>25 January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Reconfiguration of services to change twenty eight (28) rest home beds to be used as dual purpose beds. There are already 25 designated certified hospital level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Telford Rest Home and Hospital provides rest home and hospital level care for up to 53 residents. The service is operated by Heritage Lifecare (BPA) Limited and managed by a facility manager and a clinical services manager. Both the facility manager and the clinical services managers have been appointed to these roles since the previous audit.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Taranaki District Health Board (TDHB). The audit process included review of policies and procedures, review of residents’ and staff records, observations and interviews with residents, family members, management, staff, allied health providers and a general practitioner.</w:t>
      </w:r>
    </w:p>
    <w:p w:rsidRPr="00A4268A">
      <w:pPr>
        <w:spacing w:before="240" w:line="276" w:lineRule="auto"/>
        <w:rPr>
          <w:rFonts w:eastAsia="Calibri"/>
        </w:rPr>
      </w:pPr>
      <w:r w:rsidRPr="00A4268A">
        <w:rPr>
          <w:rFonts w:eastAsia="Calibri"/>
        </w:rPr>
        <w:t>A partial provisional audit was also undertaken for a proposed reconfiguration of services to change 28 rest home beds to dual purpose beds providing both rest home and hospital level care. There are already 25 designated certified hospital level beds at this facility.</w:t>
      </w:r>
    </w:p>
    <w:p w:rsidRPr="00A4268A">
      <w:pPr>
        <w:spacing w:before="240" w:line="276" w:lineRule="auto"/>
        <w:rPr>
          <w:rFonts w:eastAsia="Calibri"/>
        </w:rPr>
      </w:pPr>
      <w:r w:rsidRPr="00A4268A">
        <w:rPr>
          <w:rFonts w:eastAsia="Calibri"/>
        </w:rPr>
        <w:t>This audit has resulted in a continuous improvement rating in safe and appropriate environment in relation to providing a safe and accessible external area to meet residents’ needs. There were no areas identified 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 There is one complaint that is not as yet closed out.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scope, direction, goals and values of the organisation. Monitoring of services provided to Heritage Lifecare (BPA) Limited is regular and effective. An experienced and suitably qualified person manages the facility.</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supports safe service provision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00FF"/>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All standards applicable to this service fully attained with some standards exceeded.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reviewed and implemented new policies and procedures that support the minimisation of restraint. One enabler and two restraints were in use at the time of audit. Restraint is only used as a last resort when all other options have been explored. A comprehensive assessment, approval and monitoring process with regular reviews occurs. Enabler use is voluntary for the safety of residents in response to individual requests. Staff receive training at orientation and thereafter every year including all required aspects of restraint and enabler use, alternatives to restraint and dealing with difficult behaviours.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69"/>
        <w:gridCol w:w="1280"/>
        <w:gridCol w:w="938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  Residents and family have access to different lounges, have access to the outside garden and seating areas which includes the middle court yard off the sun lounge.</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‘Skype’ available via a portable electronic device to support residents and family to maintain regular contact and relationships.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and concerns policy and associated documents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five complaints have been received over the past year and that actions taken, through to an agreed solution are documented and completed within the timeframes. Action plans showed any required follow up and improvements have been made where possible. The facility manager is responsible for complaints management and follow up. All staff interviewed confirmed a sound understanding of the complaint process and what actions are required. There have been no complaints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 being made aware of the Code and the Nationwide Health and Disability Advocacy Service (Advocacy Service) as part of the admission information provided and discussions with staff. The Code is displayed in the main reception area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through community activities, arranging their own visits to the doctor, and participation in clubs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support residents in the service who identify as Māori to integrate their cultural values and beliefs.  The principles of the Treaty of Waitangi are incorporated into day to day practice, as is the importance of whānau.  The clinical services manager interviewed reported that there were no residents who affiliate with their Maori culture at the time of audit. There are no barriers in supporting residents who are admitted to the facility who identify as Māori.  The Maori cultural policy states that there is a specific current Māori health plan, and all values and beliefs are acknowledged with the support of the Te Whare Tapa Wha model and would then be integrated into a resident’s long-term care plans with input from cultural advisers within the local community as required.  Guidance on tikanga best practice is available and is supported by staff who identify as Māori 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for example, spiritual beliefs.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the hospice/palliative care team, diabetes nurse specialist, wound care specialist,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day to day discussions between staff, residents and relatives.  One resident interviewed stated that staff when providing support with daily activities of living ensure that her privacy is maintained at all times. Staff were observed maintaining privacy.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As a result of only ten of 43 relative satisfaction surveys in October 2018 being returned, a corrective action plan was developed to ensure that all ‘next of kin’/Enduring power of attorney (EPOA) contact details for residents were up to date.  It was found that seven of the 43 contact details for residents were incorrect. All contact information for all residents has now been updated and re-entered into the database.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although reported this was rarely required due to all residents able to speak English and staff being able to provide interpretation as and when needed.  The clinical services manager interviewed stated that a ‘tool box’ session and communication cards were developed for a resident (now deceased) who was unable to verbalise their needs, but able to point to the cue cards.  </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residents who have a significant sensory impairment.  Long term care plans showed interventions and equipment provided to promote ongoing independence, communication and support.  For example, staff communicated with ‘yes, no’ questions, and use clear slow speech providing time for the resident to respond.  Staff ensured that all furniture moved in a resident’s bedroom was replaced back exactly, and staff knock on the resident’s door and introduce themselves.  Staff interviewed knew the residents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are reviewed annually and outline the purpose, values, scope, direction and goals of the organisation. The business plan was reviewed for 2018 to 2019. The documents described annual and longer term objectives and the associated operational plans. A sample of weekly and monthly reports to the organisation’s support office showed adequate information to monitor performance is reported including financial performance, emerging risks and any issues.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who is experienced in the aged care sector and has been in this position since 30 July 2018. Responsibilities and accountabilities are defined in a position description and individual employment agreement. The facility manager confirmed knowledge in the sector, regulatory and reporting requirements and maintains currency through attending leadership education at the Taranaki District Health Board (TDHB).</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the clinical services manager were interviewed in relation to the proposed change to reconfigure 28 rest home beds to dual purpose beds so that residents do not have to change rooms when their current level of care changes. The facility is well designed to facilitate and accommodate the proposed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TDHB for up to 53 residents.  On the day of audit there were rest home level care residents (26), hospital level care (13) and respite care (2) rest home level care residents, younger persons disabled (YPD) (Nil).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facility manager (FM) is absent the clinical services manager (CSM) carries out all the required duties under delegated authority. During absences of key clinical staff, the clinical management is overseen by a senior registered nurse who can take responsibility for any clinical issues that may arise. The staff can be supported by the Careerforce educator (who covers two services). Staff can also obtain support from the HLL support office if necessary.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services manager was interviewed and referred to the proposal request to the MoH to change 28 current rest home beds to dual purpose beds. The clinical manager is experienced to manage the additional clinical responsibilities should consent be obtained.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complaints and incidents, audit activities, a regular resident survey, monitoring of outcomes, clinical incidents including infections, pressure injury management and restraint minimisation and safe practice.</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quality and staff meetings. Staff reported their involvement in quality and risk management activities through audit activities. Relevant corrective actions are developed and implemented to address any shortfalls. Resident and family satisfaction surveys are completed annually in October. The most recent survey was poorly responded to by family/residents at the time. Another survey is scheduled for May 2019 earlier than the normal timeframe of October. Results were reviewed and documented.</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cover all necessary aspects of the service and meet contractual requirements, including reference to the interRAI Long-Term Care Facility (LTCF) assessment tool and process. Policies are based on best practice and were current. The document control system ensures a systematic and regular review process, referencing of relevant sources, approval, distribution and removal of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the processes for the identification, monitoring, review and reporting of risks and developed mitigation strategies for HLL. The facility manager and facility quality manager is familiar with the Health and Safety at Work Act (2015) and has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support office clinical and quality team.</w:t>
            </w:r>
          </w:p>
          <w:p w:rsidR="00EB7645" w:rsidRPr="00BE00C7" w:rsidP="00BE00C7">
            <w:pPr>
              <w:pStyle w:val="OutcomeDescription"/>
              <w:spacing w:before="120" w:after="120"/>
              <w:rPr>
                <w:rFonts w:cs="Arial"/>
                <w:b w:val="0"/>
                <w:lang w:eastAsia="en-NZ"/>
              </w:rPr>
            </w:pPr>
            <w:r w:rsidRPr="00BE00C7">
              <w:rPr>
                <w:rFonts w:cs="Arial"/>
                <w:b w:val="0"/>
                <w:lang w:eastAsia="en-NZ"/>
              </w:rPr>
              <w:t>Training is provided to all staff annually on the quality and risk management system including incident/accidents, complaints and hazards. The staff education plan was reviewed.</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including for pressure injuries. They advised there have been 9 Section 31 notifications of significant events made to the Ministry of Health since the previous audit with one police investigation lodged on the 24 December 2018 remaining open.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individual roles. Staff records reviewed show documentation of completed orientation and a performance review after three months and annually thereafter.</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A list of requirements was reviewed. Care staff have either completed or commenced a New Zealand Qualification Authority education programme to meet the requirements of the provider’s agreement with the TDHB. There is a Careerforce educator who covers two sites. Records are maintained electronically and were reviewed.</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demonstrated completion of the required training and completion of annual performance appraisals. A schedule was displayed in the facility manager’s office for the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the clinical; manager were interviewed in relation to the proposed reconfiguration of services.  Orientation packs will be set up in readiness if additional staff are employed.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four week roster cycle confirmed adequate cover has been provided, with staff replaced in any unplanned absence. At least one staff member is on duty has a current first aid certificate and there is 24 hour/seven days a week (24/7) coverage.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reconfiguration has been proposed to increase 28 current rest home level care beds to dual purpose beds being hospital and/or rest home. There are already 25 beds certified as hospital level care beds. Additional registered nurses and care staff will be increased as needed to cover hospital level requirements and to meet increased acuity as per the acuity tool used by HLL. There are adequate registered nurses (six inclusive of the CSM) available currently to provide the 24/7cover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Files reviewed contained completed demographic detail, assessments and signed admission agreements in accordance with contractual requirements. Service charges comply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appropriate documentation and communication between the facility, family, ambulance service and local hospital.  Family of the resident reported being kept well informed during the transfer of their relative.  While the resident remains in the local hospital, documentation in the progress notes also identified ongoing daily communication between the facility, family and local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included the prescriber’s signature and date recorded on the commencement and discontinuation of medicines and all requirements for pro re nata (PRN) medicines met. The required three-monthly GP review is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six residents who were self-administering medications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process for comprehensive analysis of any medication errors.  </w:t>
            </w:r>
          </w:p>
          <w:p w:rsidR="00EB7645" w:rsidRPr="00BE00C7" w:rsidP="00BE00C7">
            <w:pPr>
              <w:pStyle w:val="OutcomeDescription"/>
              <w:spacing w:before="120" w:after="120"/>
              <w:rPr>
                <w:rFonts w:cs="Arial"/>
                <w:b w:val="0"/>
                <w:lang w:eastAsia="en-NZ"/>
              </w:rPr>
            </w:pPr>
            <w:r w:rsidRPr="00BE00C7">
              <w:rPr>
                <w:rFonts w:cs="Arial"/>
                <w:b w:val="0"/>
                <w:lang w:eastAsia="en-NZ"/>
              </w:rPr>
              <w:t>In regard to the proposed reconfiguration, the clinical services manager interviewed stated that there will be adequate staff levels to support all residents requiring assistance with their medications and all medical equipment/consumables.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one of two cooks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awaits their verification audit and operates with an approved food safety plan and registration issued by the New Plymouth District Council which expires 30 October 2019. Food temperatures, including for high risk items, are monitored appropriately and recorded as part of the plan. All cooks and kitchen assistants have completed safe food handling.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The kitchen cooks all meals on site and serves directly to two adjacent dining rooms.  Residents have the option of having their meals in their rooms.  The residents and families also have access to self-service of tea and coffee making in the dining room.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r w:rsidRPr="00BE00C7">
              <w:rPr>
                <w:rFonts w:cs="Arial"/>
                <w:b w:val="0"/>
                <w:lang w:eastAsia="en-NZ"/>
              </w:rPr>
              <w:t>In regard to the proposed reconfiguration, the clinical services manager interviewed stated that there will be adequate staff levels to support all residents requiring assistance with their meals.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falls risk, skin integrity, nutritional screening and depression scale and challenging behaviour, as a means to identify any deficits and to inform care planning. The sample of care plans reviewed had an integrated range of resident-related information.  All residents have current interRAI assessments completed by one of four trained interRAI assessors on site which includes the clinical services manager.  A further two registered nurses are booked to complete their interRAI training. Time is allocated for the interRAI assessors to complete the assessments and to up-date the care plans.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with ‘great’ care provided.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activities co-ordinator who supports the residents Monday to Friday 8.45 am to 5.15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 are involved in evaluating and improving the programme through residents’ meetings and satisfaction surveys. Residents interviewed confirmed they find the programme very interactive and fun also stating that they are supported in individual specific activities of interest they have.</w:t>
            </w:r>
          </w:p>
          <w:p w:rsidR="00EB7645" w:rsidRPr="00BE00C7" w:rsidP="00BE00C7">
            <w:pPr>
              <w:pStyle w:val="OutcomeDescription"/>
              <w:spacing w:before="120" w:after="120"/>
              <w:rPr>
                <w:rFonts w:cs="Arial"/>
                <w:b w:val="0"/>
                <w:lang w:eastAsia="en-NZ"/>
              </w:rPr>
            </w:pPr>
            <w:r w:rsidRPr="00BE00C7">
              <w:rPr>
                <w:rFonts w:cs="Arial"/>
                <w:b w:val="0"/>
                <w:lang w:eastAsia="en-NZ"/>
              </w:rPr>
              <w:t>Staff at the facility support the residents with a monthly gardening, ‘care n craft’, cards, baking, scrabble and ‘men’s clubs’.  Residents are also supported to partake in the twice weekly walking train and weekly van outings.  All residents have access to the activity calendar with residents reminded each day about the planned events when visited by the activities co-ordinator and are encouraged to attend and partake in the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that present with behaviours that are challenging have had a 24-hour activity chart developed as a result of ongoing assessments, monitoring and evaluation to support all staff to be aware of activities and/or interventions that may reduce and minimise the challenging behaviour of the resident at that time.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resident cat, goldfish, ducks and budgies of which the residents took part in the selection of and the developing of their new homes at the facility.  The residents are encouraged to continue to look after their pets with guidance from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wounds, weight loss and trialling of restraint.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with some residents supported by four independent GPs.   If the need for other non-urgent services are indicated or requested, the GP or RN sends a referral to seek specialist input.  Copies of referrals were sighted in residents’ files, including to a speech language therapist, physiotherapist, wound nurse specialist and dietician.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to staff. Material data sheets were available where chemicals are stored, and staff interviewed knew what to do should there be a chemical spill/event occur. A spill kit was available.</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personal protective clothing and equipment and staff were observed using this.</w:t>
            </w:r>
          </w:p>
          <w:p w:rsidR="00EB7645" w:rsidRPr="00BE00C7" w:rsidP="00BE00C7">
            <w:pPr>
              <w:pStyle w:val="OutcomeDescription"/>
              <w:spacing w:before="120" w:after="120"/>
              <w:rPr>
                <w:rFonts w:cs="Arial"/>
                <w:b w:val="0"/>
                <w:lang w:eastAsia="en-NZ"/>
              </w:rPr>
            </w:pPr>
            <w:r w:rsidRPr="00BE00C7">
              <w:rPr>
                <w:rFonts w:cs="Arial"/>
                <w:b w:val="0"/>
                <w:lang w:eastAsia="en-NZ"/>
              </w:rPr>
              <w:t>In relation to the proposed reconfiguration there will be adequate supplies available of personal protective equipment available and the management of waste, infectious and hazardous substances will be appropriately managed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dated expiry 20 July 2019, is displayed at the entrance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environment and facilities are fit for their purpose and are maintained. The testing and tagging of electrical equipment and calibration of biomedical equipment was current as confirmed in documentation reviewed, interviews with staff and observation of the environment. The maintenance person was not able to be present at this audit.  The environment was hazard free, residents were safe and independence is promoted.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continuous improvement rating has been gained under this Standard for a specific quality improvement initiative project undertaken to further provide independence and safe use of an external area which is clearly now readily accessed and enjoyed by residents.  External areas are safely maintained and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is required and that any requests are appropriately actioned. Residents reported that are happy with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partial provisional audit has been completed with this certification audit in regard to a reconfiguration proposal to change 28 rest home level care beds to dual purpose beds rest home and hospital level care beds provision. There are already 25 certified hospital level beds at this facility. The rest home rooms are all of generous proportion with adequate room for residents’ personal belongings and additional equipment as required, such as shower chairs, wheelchairs, hoists and/or fall out chairs. Disability access is readily available internally and externally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There are separate staff and visitor toilets available. In the hospital service area, there are two rooms with full ensuites. The rest home wing has a shared toilet and vanity between every two rooms, except for ten rooms. Signage is available. Showers and toilets are also in close proximity to all residents’ rooms throughout the facility. Appropriately secured and approved handrails are provided in the toilet/shower areas and other equipment/accessories are available to promote resident independence.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reconfiguration proposal is supported as all communal toilets and showers meet disability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bedrooms have single accommodation. Rooms are personalised with furnishings, photos and other personal items displayed. There is room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reconfiguration proposal is acknowledged by managers interviewed who reported that residents will be provided with adequate personal space appropriate for the disabled, frail or long term hospital level care residents. The rooms are large for residents to move safely in their personal space/bedroom and to use mobility aids to promote independence and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There are two large lounges, a small activities/quiet lounge in the rest home and a separate whanau room in the hospital. There are two large dining rooms and a library with seating available. There is a recessed area for residents to make personal telephone calls. There is also a separate hair salon which is used regularly. There is disability access to the conservatory and outside courtyards from all wings.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proposed reconfiguration is supported with adequate age appropriate and accessible areas within the facility for residents to meet their relaxation, activity and dining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Laundry staff interviewed demonstrated a sound knowledge of the laundry processes. Personal clothing can be done by family or staff. All training is provided as part of the orientation process and is ongoing. The residents and family interviewed reported the laundry is well managed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designated cleaning staff who have received appropriate training. A contracted preferred provider checks all chemicals, supplies and equipment required for both services. This was able to be validated. A refillable chemical station was in a locked room. The cleaning trolley was stored in a locked room when not in use. The HLL cleaning schedules were followed by staff and achieved on a daily basis. Carpet cleaning as per the schedule sighted was undertaken. Water temperatures for the laundry were checked and maintained by maintenance staff.</w:t>
            </w:r>
          </w:p>
          <w:p w:rsidR="00EB7645" w:rsidRPr="00BE00C7" w:rsidP="00BE00C7">
            <w:pPr>
              <w:pStyle w:val="OutcomeDescription"/>
              <w:spacing w:before="120" w:after="120"/>
              <w:rPr>
                <w:rFonts w:cs="Arial"/>
                <w:b w:val="0"/>
                <w:lang w:eastAsia="en-NZ"/>
              </w:rPr>
            </w:pPr>
            <w:r w:rsidRPr="00BE00C7">
              <w:rPr>
                <w:rFonts w:cs="Arial"/>
                <w:b w:val="0"/>
                <w:lang w:eastAsia="en-NZ"/>
              </w:rPr>
              <w:t>Facilities in the laundry and for cleaning are adequate to meet any increased needs in relation to the proposed reconfiguration.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30 January 2017. A trial evacuation takes place six-monthly with a copy sent to the New Zealand Fire Service, the most recent being on 05 September 2018.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gas, water (supplies to meet the local Taranaki Regional Council requirements), blankets, mobile phones and a gas barbecue were sighted and meet the requirements for the number of residents at this facility.  Portable water is stored appropriately and changed regularly annually. All equipment and resources are checked regularly, and checklists were reviewed. A copy of the emergency plan reviewed (15 January 2019) for the service inclusive of staff responsibilities (with clear photographs of equipment and how to switch off equipment in an emergency event), is provided in the allocated storage shed. Emergency lighting is available and is checked on a regular basis as verified in records reviewed. There is no generator on site but this can be arranged as needed.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Staff check the doors and windows during rounds of the facility. Security cameras are situated throughout the facility as a safety measure. Screens are checked and backup is available to management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essential, emergency and security systems in place at the facility are more than adequate to meet the needs for the proposed reconfiguration.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windows and all rooms in the courtyard area open into the courtyard with ranch sliders doors. Heating is provided by gas throughout the facility. Heat pumps are installed in communal areas. Areas were warm and well ventilated thorough 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proposed reconfiguration would not be affected in respect to natural light, ventilation and heating of all individual residents’ rooms and/or the total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with input from the GPs and gerontology clinical nurse specialist as required.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designated IPC coordinator, whose role and responsibilities are defined in a job description. Infection control matters, including surveillance results, are reported monthly to the clinical services and facility managers, and tabled at the quality/risk committee meeting.  This committee includes the clinical services and facility managers, IPC coordinator, the health and safety officer,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In regard to the proposed reconfiguration, the clinical services manager interviewed stated that there will be adequate staff levels to support all residents to continue to reduce and minimise the risk of infections.</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since August 2018.  The clinical services manager interviewed stated that she will continue to support the IPC coordinator as she transitions into her new role.   Both the clinical services manager and IPC coordinator have undertaken  training in infection prevention and control as verified in training records sighted.  Additional support and information are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  The facility has also introduced five new infection outbreak kits and these are checked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March 2018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increase in infection incidence has occurred, there is evidence that additional staff education has been provided in response.  An example of this occurred when there was an increase in urinary tract infections in November 2018 and education was provided as part of a corrective action at the staff meetings. In August of 2018, a ‘tool box’ session provided staff with training on infection control more specifically reducing and minimising the risk of cross infection.  Staff that are unable to attend staff meetings and/or teaching sessions are required to read the minutes of the meetings and education material provided and sign in acknowledgement that they have done so.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 respiratory tract infection, skin, wound, eye, gastro enteritis and other infections.  The IPC coordinator/registered nurse reviews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Trends are identified from the past year and this is reported by the clinical services manager and reported to the facility manager, quality team and all staff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had a total of 45 infections from July 2018 through to and including December 2018.  Residents’ files reviewed highlighted short term and long-term care planning to reduce and minimise the risk of infection.   Care staff interviewed demonstrated knowledge of residents who have a higher risk of infections and the interventions required.  Data is benchmarked within the organisation monthly.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r w:rsidRPr="00BE00C7">
              <w:rPr>
                <w:rFonts w:cs="Arial"/>
                <w:b w:val="0"/>
                <w:lang w:eastAsia="en-NZ"/>
              </w:rPr>
              <w:t>The clinical services manager interviewed stated the facility has had no infectious outbreaks in the last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have been recently reviewed and a new policy developed and implemented which meets the requirements of the restraint minimisation and safe practice standards and provides guidance on the safe use of both restraints and enablers. The restraint coordinator provides support and oversight for enabler and restraint management in the facility and demonstrated a sound understanding of the organisation’s policies, procedures and practice and the role and responsibilities. On the day of audit two residents were using restraints and one resident was using an enabler, which was the least restrictive and used voluntarily at their request. A similar process is followed for the use of enablers as is used for restraints.</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individual residents’ records and from interview with staff.</w:t>
            </w:r>
          </w:p>
          <w:p w:rsidR="00EB7645" w:rsidRPr="00BE00C7" w:rsidP="00BE00C7">
            <w:pPr>
              <w:pStyle w:val="OutcomeDescription"/>
              <w:spacing w:before="120" w:after="120"/>
              <w:rPr>
                <w:rFonts w:cs="Arial"/>
                <w:b w:val="0"/>
                <w:lang w:eastAsia="en-NZ"/>
              </w:rPr>
            </w:pPr>
            <w:r w:rsidRPr="00BE00C7">
              <w:rPr>
                <w:rFonts w:cs="Arial"/>
                <w:b w:val="0"/>
                <w:lang w:eastAsia="en-NZ"/>
              </w:rPr>
              <w:t>Restraint minimisation and safe practice was well understood by staff interviewed and managed in the event of a resident requiring the use of an enabler and/or a restraint. HLL protocol was followed.  All staff have received appropriate education.  The proposed reconfiguration will have no impact on the safe management of any restraints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protocol for the restraint approval group has been re-developed by the organisation quality and compliance team and is now made up of the HLL national manager clinical and quality, the clinical and quality improvement lead, two clinical managers and two restraint co-ordinators. The restraint approval group convenes twice yearly, approves restraint methods for the organisation, monitors restraint use and approves any policy change.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evident from the review of residents’ records and interview with the coordinator that there are clear lines of accountability and that all restraints in use have been approved and the overall use of restraints is being monitored and analysed. Evidence of family involvement in the decision making was on record as required. Use of a restraint or an enabler is part of the plan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restraints were documented and included all requirements of the Standard. A newly implemented form is to be used for all new residents entering the services. The RN undertakes the initial assessment with the restraint coordinator’s involvement and input from the respective family/EPOA. The restraint coordinator interviewed described the documented process. Families confirmed their involvement. The assessment process identified the underlying causative factors, any history of restraint use, cultural considerations, alternatives and associated risks. The desired outcome was to ensure resident’s safety and security. Completed assessments were sighted of the two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and the restraint coordinator described how alternatives to restraints are discussed with staff and family members (eg, the use of sensor mats and low beds). When restraints are in use, frequent monitoring occurs to ensure the resident is safe. Records of monitoring had the necessary details. Access to an advocate can be arranged and all processes ensure dignity and privacy are maintained and respected.</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and updated every month and reviewed at each restraint meeting. The register reviewed contained all residents currently using a restraint and sufficient information to provide an auditable record.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received training in restraint minimisation and safe practice at orientation and this is ongoing. Related topics, such as positively supporting people with challenging behaviours is provided. Staff have had the required training to manage the residents in the dementia service. Staff interviewed understood that the use of restraint is to be minimised and how to maintain safety when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the residents’ records showed that the individual use of restraints is reviewed and evaluated during care plan and interRAI reviews six monthly or more often if required. Families interviewed confirmed their involvement in the evaluation process and their satisfaction with the restraint process. The evaluation covers all requirements of the Standard including future options to eliminate use, the impact and outcomes achieved, if the policy and procedure was followed and the documentation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restraint committee undertakes a six monthly review of all restraint use which includes all the requirements of this Standard. Six monthly restraint meetings and reports reviewed evidenced all restraint use is reported to the quality and staff meetings. Minutes of meetings reviewed confirmed this includes analysis and evaluation of the amount and type of restraint use in the facility, whether all alternatives to restraint have been considered, the effectiveness of the restraint use, the competency of staff and the appropriateness of restraint/enabler education and any feedback from families, staff or allied health professionals is considered. A six monthly internal audit is carried out as part of the internal audit programme (schedule reviewed). Any changes to policies, as has recently occurred, are implemented as indicated. Data reviewed, minutes and interviews with staff and families confirmed the use of restraint is minimised.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59"/>
        <w:gridCol w:w="1280"/>
        <w:gridCol w:w="6309"/>
        <w:gridCol w:w="50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1.4.2.6</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accessible external areas that meet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well manged accessible garden areas with even pathways, a gazebo, raised gardens and seating provided, suitable for the service groups and setting. A large central courtyard was not utilised at all by residents and families and described by residents as uninviting with the outdoor furniture not suitable for residents. After a meeting with staff, residents and families a project evolved with specific goals. Options were discussed with engagement of residents and family. A quality improvement action plan/form was completed. Residents were surveyed about their wishes and the results were discussed at a residents’ meeting with agreement reached on the development of the external space. The project was followed by the residents and work men and staff completed the project in the timeframe stated. An evaluation occurred two months after the project was completed with positive outcomes/feedback. At the time of this audit, residents and family members were seen to be using the area constantly and external activities were also being pursued.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improvements to a previously unused outdoor area have resulted in an outdoor activities area where residents can relax with family and friends. This was important to the residents who were involved in the project planning and implementation. The fish pond area has provided the residents and their families with an area that is inviting, tranquil and relaxing. Residents have benefited from this project and are more independent and well-being has increased. The residents and staff ensure the garden area is maintained and the residents take pride in their roles, such as feeding the fish, which is monitored by a staff member. Furniture purchased is used which is appropriate to the service group and setting. Residents interviewed stated the seating was comfortable. Resident activities/functions are also held outside as part of the activities programme.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(BPA) Limited - Telford Rest Home &amp; Hospital</w:t>
    </w:r>
    <w:bookmarkEnd w:id="58"/>
    <w:r>
      <w:rPr>
        <w:rFonts w:cs="Arial"/>
        <w:sz w:val="16"/>
        <w:szCs w:val="20"/>
      </w:rPr>
      <w:tab/>
      <w:t xml:space="preserve">Date of Audit: </w:t>
    </w:r>
    <w:bookmarkStart w:id="59" w:name="AuditStartDate1"/>
    <w:r>
      <w:rPr>
        <w:rFonts w:cs="Arial"/>
        <w:sz w:val="16"/>
        <w:szCs w:val="20"/>
      </w:rPr>
      <w:t>24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