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TerraNova Homes &amp; Care Limited - Brittany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TerraNova Homes &amp;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Brittany House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January 2019</w:t>
      </w:r>
      <w:bookmarkEnd w:id="7"/>
      <w:r w:rsidRPr="009418D4">
        <w:rPr>
          <w:rFonts w:cs="Arial"/>
        </w:rPr>
        <w:tab/>
        <w:t xml:space="preserve">End date: </w:t>
      </w:r>
      <w:bookmarkStart w:id="8" w:name="AuditEndDate"/>
      <w:r w:rsidR="00A4268A">
        <w:rPr>
          <w:rFonts w:cs="Arial"/>
        </w:rPr>
        <w:t>4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TerraNova Homes &amp; Care Limited - Brittany Residential Care is certified to provide rest home, hospital (geriatric and medical) and residential disability – physical level care for up to 62 residents.  On the day of the audit, there were 55 residents.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Standards and the contract with the district health board.  The audit process included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 xml:space="preserve">The facility manager is appropriately qualified and experienced and is supported by a clinical manager.  Feedback from residents and relatives was positive.  </w:t>
      </w:r>
    </w:p>
    <w:p w:rsidRPr="00A4268A">
      <w:pPr>
        <w:spacing w:before="240" w:line="276" w:lineRule="auto"/>
        <w:rPr>
          <w:rFonts w:eastAsia="Calibri"/>
        </w:rPr>
      </w:pPr>
      <w:r w:rsidRPr="00A4268A">
        <w:rPr>
          <w:rFonts w:eastAsia="Calibri"/>
        </w:rPr>
        <w:t>One of two shortfalls identified at the previous audit have been addressed.  This was around family communication.  Further improvements continue to be required around call bell access for residents.</w:t>
      </w:r>
    </w:p>
    <w:p w:rsidRPr="00A4268A">
      <w:pPr>
        <w:spacing w:before="240" w:line="276" w:lineRule="auto"/>
        <w:rPr>
          <w:rFonts w:eastAsia="Calibri"/>
        </w:rPr>
      </w:pPr>
      <w:r w:rsidRPr="00A4268A">
        <w:rPr>
          <w:rFonts w:eastAsia="Calibri"/>
        </w:rPr>
        <w:t xml:space="preserve">This audit has identified further improvements required around complaint documentation, access to information in the event of a system outage, medication management; relative surveys; and care plan interventions.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A policy on open disclosure is in place.  The rights of the resident and/or their family to make a complaint is understood, respected and upheld by the service.  A system for managing complaints is in place.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TerraNova is establishing a quality and risk programme across its facilities.  Quality goals are documented for the service and organisational goals are embedded into practice.  Risk performance is reported across the facility meetings and to the organisation's management team.  An annual internal audit schedule is in place.  A health and safety programme is in place, which includes hazard management, incident and accident reporting and health and safety processes.  There are human resources policies including recruitment, job descriptions, selection, orientation and staff training and development.  The service has an orientation and training programme that provides staff with relevant information for safe work practices.  Registered nursing cover is provided 24-hours a day, 7 days a week.  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 records reviewed provide evidence that the registered nurses utilise the interRAI assessment to assess, plan and evaluate care needs of the residents.  Care plans are developed in consultation with the resident and/or family.  Care plans demonstrate service integration and are reviewed at least six-monthly.  Resident files include three-monthly reviews by the general practitioner.  There is evidence of other allied health professional input into resident care.   </w:t>
      </w:r>
    </w:p>
    <w:p w:rsidRPr="00A4268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medicines complete education and medicines competencies.  The electronic medicines records reviewed include documentation of allergies and sensitivities and are reviewed at least three-monthly by the general practitioner.  </w:t>
      </w:r>
    </w:p>
    <w:p w:rsidRPr="00A4268A" w:rsidP="00621629">
      <w:pPr>
        <w:spacing w:before="240" w:line="276" w:lineRule="auto"/>
        <w:rPr>
          <w:rFonts w:eastAsia="Calibri"/>
        </w:rPr>
      </w:pPr>
      <w:r w:rsidRPr="00A4268A">
        <w:rPr>
          <w:rFonts w:eastAsia="Calibri"/>
        </w:rPr>
        <w:t>The activities programme includes community visitors and outings, entertainment and activities that meet the recreational preferences and abilities of the residents.</w:t>
      </w:r>
    </w:p>
    <w:p w:rsidRPr="00A4268A" w:rsidP="00621629">
      <w:pPr>
        <w:spacing w:before="240" w:line="276" w:lineRule="auto"/>
        <w:rPr>
          <w:rFonts w:eastAsia="Calibri"/>
        </w:rPr>
      </w:pPr>
      <w:r w:rsidRPr="00A4268A">
        <w:rPr>
          <w:rFonts w:eastAsia="Calibri"/>
        </w:rPr>
        <w:t>All food and baking is done on-site.  All residents' nutritional needs are identified and documented.  Choices are available and are provided.  An external dietitian reviews the menus.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  Reactive and preventative maintenance occurs.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comprehensive restraint procedures including restraint minimisation.  There is a documented definition of restraint and enablers that aligns with the definition in the standards.  There were two residents requiring the use of a restraint and none with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coordinator uses the information obtained through surveillance to determine infection control activities, resources and education needs within the facility.  Staff receive ongoing training in infection control.  The facility has had one outbreak since its previous audit and this was evidenced to be well managed.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1</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1</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49"/>
        <w:gridCol w:w="1280"/>
        <w:gridCol w:w="104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on entry to the service.  The facility manager maintains a record of complaints, both verbal and written, by using a complaint’s register.  Complaints are documented on the organisation’s electronic system (People Point).  These are also monitored by head office.  Discussions with residents and relatives confirmed they were provided with information on complaints.  Complaints forms are in a visible location at the entrance to the facility.  No complaints have been documented since the current manager took up her position as manager 18 months ago.  There was no documentation relating to any previous complaints including one Health and Disability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operating procedures relating to accident/incidents, complaints and open disclosure alert staff to their responsibility to notify family/next of kin of any accident/incident that occurs.  There is an open disclosure policy.  Accident/incident forms and electronic records of incidents (on People Point) have a section to indicate if next of kin have been informed (or not) of an accident/incident.  Overall incident forms identified that family were informed and this is an improvement on previous audit.  Six residents (two hospital and four rest home, including two younger persons with disabilities (YPD) and two-family members (two rest home) interviewed confirmed on interview that the staff and management are approachable and available.  Staff were observed communicating effectively with residents.  The information pack is available in large print and advised that this can be read to residents.  An interpreter service is available and accessible if required.  Families and staff are utilised in the first instance.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Brittany House Residential Care is one of two facilities owned and operated by TerraNova Homes and Care Ltd (TerraNova).  The service currently provides care for up to 62 residents and is certified to provide hospital (medical and geriatric), rest home level care and residential disability services - physical.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55 residents in total (20 hospital residents, including 1 resident on respite care and 23 rest home residents, including 5 residents on a younger person with disabilities (YPD) contract and 1 resident on respite care).  All other residents were under the aged related residential care (ARRC) contract.   There are 55 dual-purpose beds which are split between 2 floors, the remaining beds are rest home only.  The majority of the hospital residents (19) were located on the first floor of the building.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clearly defined scope, direction and goals documented in the service marketing literature and the 2018/2019 business plan and quality and risk plan.  The facility manager (RN) has been in the role for 18 months and has worked in aged care industry for over 20 years.  The clinical coordinator has been in the position for one year and has over thirteen years’ experience working as a registered nurse (RN).  Staff spoke positively about the support/direction and management of the current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maintained over eight hours annually of professional development activities related to managing an aged care service.</w:t>
            </w:r>
          </w:p>
          <w:p w:rsidR="00EB7645" w:rsidRPr="00BE00C7" w:rsidP="00BE00C7">
            <w:pPr>
              <w:pStyle w:val="OutcomeDescription"/>
              <w:spacing w:before="120" w:after="120"/>
              <w:rPr>
                <w:rFonts w:cs="Arial"/>
                <w:b w:val="0"/>
                <w:lang w:eastAsia="en-NZ"/>
              </w:rPr>
            </w:pPr>
            <w:r w:rsidRPr="00BE00C7">
              <w:rPr>
                <w:rFonts w:cs="Arial"/>
                <w:b w:val="0"/>
                <w:lang w:eastAsia="en-NZ"/>
              </w:rPr>
              <w:t>On the first day of audit the service computer system failed, and the service was unable to access resident files and quality information.  The audit was stopped when it became clear that the auditors were not able to access all information.  One auditor returned on the 4th March, unannounced, to complete a review of the documentation.</w:t>
            </w:r>
          </w:p>
          <w:p w:rsidR="00EB7645" w:rsidRPr="00BE00C7" w:rsidP="00BE00C7">
            <w:pPr>
              <w:pStyle w:val="OutcomeDescription"/>
              <w:spacing w:before="120" w:after="120"/>
              <w:rPr>
                <w:rFonts w:cs="Arial"/>
                <w:b w:val="0"/>
                <w:lang w:eastAsia="en-NZ"/>
              </w:rPr>
            </w:pPr>
            <w:r w:rsidRPr="00BE00C7">
              <w:rPr>
                <w:rFonts w:cs="Arial"/>
                <w:b w:val="0"/>
                <w:lang w:eastAsia="en-NZ"/>
              </w:rPr>
              <w:t>On the second visit all computer systems were up and running.  The issue of resident (and other files) access was discussed with the facility manager.   The manager has researched how to access resident (and other information) when the computers go off line.  The service is able to access all resident information through its sister services if needed.   Since the first day of audit the service has also printed off all resident care summary sheets in case of an emergency and has an action plan to ensure the printed versions are maintained up to date.  (link 1.2.9.10).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TerraNova has an established quality and risk programme across its facilities.  All incidents are reported on ‘People Point’ and reviewed by the clinical coordinator and facility manager on a daily basis.  Incidents are also able to be reviewed in detail by the chief executive officer (CEO) on ‘People Point’.  Interviews with the staff reflect their understanding of the quality and risk management systems.  The monthly monitoring, collation and evaluation of quality and risk data includes (but is not limited to): resident falls; infection rates; complaints received; restraint use; pressure injuries; wounds; and medication errors.  An annual internal audit schedule was sighted for the service, with evidence of internal audits occurring as per the audit schedule.  Corrective actions are implemented when service shortfalls are identified.  Quality and risk data, including trends in data and benchmarked results are discussed in the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TerraNova’s policies, procedures and relevant forms are available both in hard copy and online under ‘SharePoint”.   At the time of the audit the service was reviewing the use of policies and procedures through an aged care consultant.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resident and relative satisfaction survey is scheduled to be completed, however a satisfaction survey has not been conducted since 2016.  A health and safety system is in place.  Health and safety is an agenda item of the staff meeting.  Hazard identification forms (recorded in People Point) and a hazard register are in place.  There are organisational three-monthly health and safety meetings, with a focus on reducing hazards and promoting safe work habits amongst employees.  The health and safety representative reports to the staff meeting any health and safety issues and hazards.  Fall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clinical coordinator investigates accidents and near misses and analysis of incident trends occurs.  There is a discussion of incidents/accidents at staff meetings including actions to minimise recurrence.  An RN conducts clinical follow up of residents.  Six incident forms reviewed for November 2018 demonstrated clinical follow up and investigation occurred following incidents.  However, neurological observation forms were not always documented as completed for unwitnessed falls or potential head injuries (link 1.3.6.1).  The managers were aware of their requirement to notify relevant authorities in relation to essential notifications.  There had been one requirement for a section 31 notification since the last audit; for a police investigation (resident behaviour) in September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Five staff files reviewed (one clinical coordinator, one RN, two caregivers and one activities coordinator) evidenced implementation of the recruitment process, employment contracts, completed orientation and annual performance appraisals.  A register of practising certificates is maintained.  The service has an orientation programme in place that provides new staff with relevant information for safe work practice.  The orientation programme is developed specifically to worker type (e.g., RN, support staff) and includes documented competencies.  New staff are buddied for a period of time and during this period they do not carry a clinical load.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induction booklet for caregivers has been rolled out across the organisation.  The booklet aligns with Careerforce unit standards Health and Wellbeing level two and they have 90 days to complete.  On completion of this orientation, the staff member has effectively attained their first national certificates.  From this, they are then able to continue with core competencies level 3-unit standards.  The in-service education programme for 2018 has been completed and the plan for 2019 is being implemented.  There are six RNs (including the clinical coordinator) and all six have completed interRAI training.  The facility manager, clinical coordinator and RNs are able to attend external training, including sessions provided by the district health board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facility manager and clinical coordinator both work full-time from Monday to Friday.  The facility manager and clinical coordinator share the on-call after-hours duties.  There is an RN on duty on each shift, seven days per week and they are based on the first floor.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first floor there are 30 of 37 residents (19 hospital and 11 rest home including 1 YPD).  There are four caregivers (three long and one short shifts) on duty on the morning shift, three caregivers (one long and two short shifts) on the afternoon shift and at night there is one caregiver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ground floor there are 25 of 25 residents (24 rest home including 1 YPD and 1 hospital).  An enrolled nurse (EN)/senior caregiver team leader is on duty on the ground floor on each shift, seven days per week.  The EN/senior caregiver team leader is supported by one caregiver on duty on the morning shift, two caregivers (one long and one short shifts) on the afternoon shift and at night there is one caregiver on duty.  The activity coordinator works 9.30 am to 4.30 pm from Monday to Friday and is supported by another activities coordinator from 2.15 pm to 4.30 pm.  Staff, family members and residents interviewed reported that there were enough staff on duty to meet resident needs.  The organisation uses ‘time target’ for monitoring staff hours and as a communication tool.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Negligible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and all resident information is maintained on an electronic system.  Information containing personal resident information is kept confidential and cannot be viewed by other residents or members of the public.  All staff have access to areas relevant to them on the People Point electronic system.  Electronic records are protected from unauthorised access.  In the event of a system failure there is no documented process to access and retrieve resident and other electronically held service information.</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 service integration.  Entries are legible, timed, dated and signed by the relevant caregiver or nurse, including designation.  Electronic records clearly identify staff member and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for all aspects of medication management, including self-administration.  The services uses an electronic medication system.  The RN checks all medications on delivery against the medication and any pharmacy errors recorded are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enrolled nurses and senior caregivers responsible for the administering of medications have completed annual medication competencies and annual medication education.  Caregivers who act as a second checker also complete a medication competency.  There were no self-medicating residents on the day of audit.  The two medication rooms were observed to be clean and well organised, all medications were in date and stored appropriately.  The medication fridge didn’t have temperatures consistently recorded daily in the downstairs room and fortified drinks were observed to be stored on the floor.  Medication trollies are stored in a locked medication room on each floor.</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were reviewed (included a sample of rest home, hospital, respite and young person’s disability).  Photo identification and allergy status were documented on all charts.  All medication charts had been reviewed by the GP at least three-monthly.  All resident medication administration signing-sheets corresponded with the medication chart.  The medication round was observed during the audit and the process was noted to be correct and safe.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meals are cooked on-site in a large, well-equipped kitchen.  Residents interviewed reported they are satisfied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four-weekly seasonal menu reviewed by a registered dietitian.  A dietitian visits as required.  A dietary assessment is completed on all residents at the time they are admitted and updated if there is a change in need.  Residents with special dietary needs have these needs identified.  Resource information on these diets is available in the kitchen.  Resident meetings discuss food and feedback is given.  Special equipment is available such as lipped plates.  Lunch meals were observed.  Staff were observed assisting residents with meals.  </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observed to be clean and well organised and all aspects of food procurement, production, preparation, storage, delivery and waste disposal complied with current legislation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 files were reviewed for this audit including two hospital level resident files and three rest home level resident files including one younger person disabled and a respite resident.  All resident electronic files reviewed had care plans in place.  The respite resident files included all care and support.  The two younger person disabled resident files included age appropriate care and included community links.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visit or nursing specialist referral if required.  Residents interviewed reported their needs were being met.  Family members interviewed stated the care and support met their expectations for their relative.  There was documented evidence of relative contact for any changes to resident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three-day urinary continence assessment for resident with continence issues, bowel management and continence products identified for day use, night use and other management.  Specialist continence advice is available as needed and this could be described by the RNs interviewed.  Caregivers and RNs interviewed state there is adequate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care plans were electronic-based.  The template included an assessment, wound management plan and evaluation forms.  All six current wounds were reviewed.  Wound care plans were not always fully completed, including one stage two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were in use and examples sighted included (but not limited to): weight and vital signs; blood glucose; pain; food and fluid; repositioning charts; and behaviour monitoring.  Monitoring forms were not always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Brittany House employs a full-time activities coordinator who assists and oversees the programme.  The service also employs a part-time activity person and the service is supported by a number of volunteers.  This team provides activities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wide range of activities, addressing the abilities and needs of residents in the hospital and rest home continue to be provided.  Activities include physical, mental spiritual and social aspects of life to improve and maintain residents’ wellbeing.  The monthly programme timetable is distributed to all residents.  Colourful posters are displayed to remind residents of what’s on.  </w:t>
            </w:r>
          </w:p>
          <w:p w:rsidR="00EB7645" w:rsidRPr="00BE00C7" w:rsidP="00BE00C7">
            <w:pPr>
              <w:pStyle w:val="OutcomeDescription"/>
              <w:spacing w:before="120" w:after="120"/>
              <w:rPr>
                <w:rFonts w:cs="Arial"/>
                <w:b w:val="0"/>
                <w:lang w:eastAsia="en-NZ"/>
              </w:rPr>
            </w:pPr>
            <w:r w:rsidRPr="00BE00C7">
              <w:rPr>
                <w:rFonts w:cs="Arial"/>
                <w:b w:val="0"/>
                <w:lang w:eastAsia="en-NZ"/>
              </w:rPr>
              <w:t>The service encourages its younger resident to take an active part in activities and community involvement.  One younger resident leads the fundraising and wishing tree appeal with the salvation army, another younger resident is a team leader for hospice fund raising.  The activity staff member described how she works with the younger residents (and family as needed) to develop activities suitable for them.  One younger resident agreed that she is very involved in fundraising and there are age appropriate activities for her.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an activity coordinator completes an assessment for each resident and an activity plan is completed.  A record is kept of individual resident’s activities and progress notes are completed monthly.  Reviews are conducted six-monthly (or earlier should the residents condition determine) as part of the care plan evaluation/review.  The resident/family/EPOA as appropriate is involved in the development of the activity plan.  There are volunteers that assist with a variety of activities including van outings.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the activity programme was developed around the interest of the residents.  Monthly meetings are held where residents and relatives nominate activities of their choice to be added to the monthly programme, examples include: daily exercise; development of a herb garden; and fundraising appeal for pets at local society for prevention of cruelty to animals.  Minutes are recorded at the forum, quality improvements identified, and feedback given.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reviewed identified long-term care plans had six-monthly reviews completed and were updated when needs changed.  Clinical reviews were documented in the multidisciplinary review (MDR) records, which included input from the GP, RNs, activities coordinator, allied services and resident/family.  Evaluation of the care plan at (MDR) meetings assesses achievement towards the desired goal or outcome.  Progress notes were completed on the computer and reflected response to interventions and treatments.  Changes to care were documented.  Documentation of GP visits evidence that reviews were occurring at least three-monthly.  Short-term care plans were in use for short-term issues and evidenced signed off once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Brittany House is continuing its process of refurbishing and upgrading the facility.  The building has two storeys.   </w:t>
            </w:r>
          </w:p>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displayed, expiring 1 January 2019.  Fire drills occur six-monthly.  A preventative and reactive maintenance schedule is in place and accurately maintained for the service.  Hot water temperatures are monitored and recorded monthly.  Where temperature has exceeded 45 degrees, the service has implemented corrective actions.  Electrical equipment is tested and tagged.  All hoists have been checked and serviced and medical equipment has been calibrated and checked.  All hazards have been identified in the hazard register.  The hazard register is reviewed monthly and signed off.</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moving easily around the building with walking aids, wheelchairs and independently.</w:t>
            </w:r>
          </w:p>
          <w:p w:rsidR="00EB7645" w:rsidRPr="00BE00C7" w:rsidP="00BE00C7">
            <w:pPr>
              <w:pStyle w:val="OutcomeDescription"/>
              <w:spacing w:before="120" w:after="120"/>
              <w:rPr>
                <w:rFonts w:cs="Arial"/>
                <w:b w:val="0"/>
                <w:lang w:eastAsia="en-NZ"/>
              </w:rPr>
            </w:pPr>
            <w:r w:rsidRPr="00BE00C7">
              <w:rPr>
                <w:rFonts w:cs="Arial"/>
                <w:b w:val="0"/>
                <w:lang w:eastAsia="en-NZ"/>
              </w:rPr>
              <w:t>There are outside courtyard areas with seating, tables and shaded areas that are easily accessible.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rosters evidences that there is at least one staff member on duty on each shift who holds a current first aid certificate.  Emergency preparedness plans are accessible to staff and includes management of all potential emergencies.  The service has implemented policies and procedures for civil defence and other emergencies.  The service has civil defence resources and supplies.  There are sufficient first aid and dressing supplies available.  The service has an approved fire evacuation scheme.  Fire evacuation training and drills are conducted six-monthly.  Emergency equipment, water and food are available. </w:t>
            </w:r>
          </w:p>
          <w:p w:rsidR="00EB7645" w:rsidRPr="00BE00C7" w:rsidP="00BE00C7">
            <w:pPr>
              <w:pStyle w:val="OutcomeDescription"/>
              <w:spacing w:before="120" w:after="120"/>
              <w:rPr>
                <w:rFonts w:cs="Arial"/>
                <w:b w:val="0"/>
                <w:lang w:eastAsia="en-NZ"/>
              </w:rPr>
            </w:pPr>
            <w:r w:rsidRPr="00BE00C7">
              <w:rPr>
                <w:rFonts w:cs="Arial"/>
                <w:b w:val="0"/>
                <w:lang w:eastAsia="en-NZ"/>
              </w:rPr>
              <w:t>Call bells are situated in all communal areas, toilets, bathrooms and personal bedrooms.  Although the call bell system has been reviewed and is appropriate to services the call bells are not always placed within reach of residents.  This is a continued shortfall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visitor’s book at reception for all visitors including contractors to sign in and out.  Appropriate security systems are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TerraNova infection control manual.  </w:t>
            </w:r>
          </w:p>
          <w:p w:rsidR="00EB7645" w:rsidRPr="00BE00C7" w:rsidP="00BE00C7">
            <w:pPr>
              <w:pStyle w:val="OutcomeDescription"/>
              <w:spacing w:before="120" w:after="120"/>
              <w:rPr>
                <w:rFonts w:cs="Arial"/>
                <w:b w:val="0"/>
                <w:lang w:eastAsia="en-NZ"/>
              </w:rPr>
            </w:pPr>
            <w:r w:rsidRPr="00BE00C7">
              <w:rPr>
                <w:rFonts w:cs="Arial"/>
                <w:b w:val="0"/>
                <w:lang w:eastAsia="en-NZ"/>
              </w:rPr>
              <w:t>An individual resident infection form is completed (IC wizard on People Point).  Monthly infection data is collected for all infections based on signs and symptoms of infection.  These are reported into Simple Solutions benchmarking programme.  An infection analysis summary is auto-populated.  The IC coordinator has utilised these summaries to identify trends and reduce infections.  Graphs, corrective actions and outcomes are shared with staff.  An outbreak in 2017 of gastroenteritis was managed well with all appropriate bodies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policy includes the definitions of restraint and enablers, which is congruent with the definitions in NZS 8134.0.  The policy includes restraint/enabler management procedures.  There are clear guidelines in the policy to determine what a restraint is and what an enabler is.  The restraint standards are being implemented and implementation is reviewed through internal audits, facility meetings and restraint steering meetings at an organisational level.  Interviews with the staff confirm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Enablers are assessed as required for maintaining safety and independence and are used voluntarily by the residents.  On the day of audit, there were two residents requiring the use of restraints (bedrails and one lap belt) and no residents with an enabler.  All enabler use is voluntary.  Two restraint resident files were reviewed.  The assessment form was completed, and care plans reflected the use of the resident and risks.  The restraint has been evaluated at least three-monthly.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6449"/>
        <w:gridCol w:w="3195"/>
        <w:gridCol w:w="14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maintains an electronic complaint register.  There have been no complaints registered for 18 months since the current manager took up her role.  Complaints received prior to the manager taking up the role were not available for review, including a Health and Disability complaint.  The Health and Disability complaint had been managed for head office and has not been closed off at the time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received prior to the manager taking up the role were not able to be accessed by the service as these complaints were not logged onto the complaints register.  This included a Health and Disability complaint.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complaints are logged onto the complaints register and are available for review by the service.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monthly monitoring, collation and evaluation of quality and risk data includes (but is not limited to): resident falls; infection rates; complaints received; restraint use; pressure injuries; wounds; and medication errors.  Quality and risk data, including trends in data and benchmarked results are discussed in the monthly staff meetings.  An annual resident and relative satisfaction survey is scheduled to be completed, however a satisfaction survey has not been conducted since 2016.</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resident and relative satisfaction survey has not been conducted since 2016.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an annual resident and relative satisfaction survey is conducted.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1.2.9.10</w:t>
            </w:r>
          </w:p>
          <w:p w:rsidR="00EB7645" w:rsidRPr="00BE00C7" w:rsidP="00BE00C7">
            <w:pPr>
              <w:pStyle w:val="OutcomeDescription"/>
              <w:spacing w:before="120" w:after="120"/>
              <w:rPr>
                <w:rFonts w:cs="Arial"/>
                <w:b w:val="0"/>
                <w:lang w:eastAsia="en-NZ"/>
              </w:rPr>
            </w:pPr>
            <w:r w:rsidRPr="00BE00C7">
              <w:rPr>
                <w:rFonts w:cs="Arial"/>
                <w:b w:val="0"/>
                <w:lang w:eastAsia="en-NZ"/>
              </w:rPr>
              <w:t>All records pertaining to individual consumer service delivery are integrated.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Negligible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information and the vast majority of quality information including: complaints, infection control, restraint, staff competencies and incident and accident data is maintained on an electronic system.  On the first day of audit there was a system outage and the service was not able to access resident information and other service information.  Since the first day of audit the service has researched how to retrieve information should an outage happen again and has also commenced a process of printing off resident’s care summaries for civil defence and other emergency needs.  This process is not documented.  Since the draft report the provider has stated; TerraNova has various documents that support staff in knowing what to do if there is a power outage, which would not allow us to use the computerised system.  Clinical Record structure; held for each resident in the facility (Paper Based).  Disaster management plan effective December 2018.  Emergency and Business Continuity plan November 2018 written in conjunction with the HBDHB.  The facility also uses Medi Map which is available off line that holds vital information pertaining to each individual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documented process for the retrieval of resident and service information held on the electronic register should there be a system outage.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a documented process, that is known by the service management team, for the retrieval of all resident information and data should there be a system outage and that resident information is readily available.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for all aspects of medication management.  Medication reconciliation is completed on arrival of medication packs.  The services use an electronic medication system.  Two medication rooms were clean and secure.  Fridge temperatures had not always been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(i)In the downstairs treatment room, the medication fridge temperature has not consistently recorded daily.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fridge temperatures are monitored and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fall related incident forms were reviewed, and all documented RN follow up.  However, two incident forms required neurological observations, which had not been documented as completed.</w:t>
            </w:r>
          </w:p>
          <w:p w:rsidR="00EB7645" w:rsidRPr="00BE00C7" w:rsidP="00BE00C7">
            <w:pPr>
              <w:pStyle w:val="OutcomeDescription"/>
              <w:spacing w:before="120" w:after="120"/>
              <w:rPr>
                <w:rFonts w:cs="Arial"/>
                <w:b w:val="0"/>
                <w:lang w:eastAsia="en-NZ"/>
              </w:rPr>
            </w:pPr>
            <w:r w:rsidRPr="00BE00C7">
              <w:rPr>
                <w:rFonts w:cs="Arial"/>
                <w:b w:val="0"/>
                <w:lang w:eastAsia="en-NZ"/>
              </w:rPr>
              <w:t>Six wound related forms were reviewed.  All had a completed assessment and management plan, the timeframes for wounds to be redressed/ evaluation were not always documented and evaluations were not always fully completed.</w:t>
            </w:r>
          </w:p>
          <w:p w:rsidR="00EB7645" w:rsidRPr="00BE00C7" w:rsidP="00BE00C7">
            <w:pPr>
              <w:pStyle w:val="OutcomeDescription"/>
              <w:spacing w:before="120" w:after="120"/>
              <w:rPr>
                <w:rFonts w:cs="Arial"/>
                <w:b w:val="0"/>
                <w:lang w:eastAsia="en-NZ"/>
              </w:rPr>
            </w:pPr>
            <w:r w:rsidRPr="00BE00C7">
              <w:rPr>
                <w:rFonts w:cs="Arial"/>
                <w:b w:val="0"/>
                <w:lang w:eastAsia="en-NZ"/>
              </w:rPr>
              <w:t>One hospital resident with analgesia via a syringe pump was observed to be well cared for and one hospital level resident with a need for monitoring for wandering both had appropriate care plan interventions.  However, the monitoring was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(i)Neurological observations were not documented as completed post unwitnessed falls for two of two falls that required neurological observations.  (ii) Three of six wound care plans did not document the timeframes for dressing/evaluation and evaluations were not always fully completed.  (iii) One hospital resident with a syringe driver did not have consistent monitoring for break-through pain.  (iv) One hospital level resident who had a history of wandering had this documented in the care plan as well as the need for monitoring.  This monitoring was not documented as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that Neurological observations are completed according to policy.  (ii) Ensure that wound care plans document the timeframes for dressing/ evaluation and that evaluations are fully documented.  (iii) - (iv) Ensure that monitoring is documented as per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1.4.7.5</w:t>
            </w:r>
          </w:p>
          <w:p w:rsidR="00EB7645" w:rsidRPr="00BE00C7" w:rsidP="00BE00C7">
            <w:pPr>
              <w:pStyle w:val="OutcomeDescription"/>
              <w:spacing w:before="120" w:after="120"/>
              <w:rPr>
                <w:rFonts w:cs="Arial"/>
                <w:b w:val="0"/>
                <w:lang w:eastAsia="en-NZ"/>
              </w:rPr>
            </w:pPr>
            <w:r w:rsidRPr="00BE00C7">
              <w:rPr>
                <w:rFonts w:cs="Arial"/>
                <w:b w:val="0"/>
                <w:lang w:eastAsia="en-NZ"/>
              </w:rPr>
              <w:t>An appropriate 'call system' is available to summon assistance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place.  The system has been reviewed and is appropriate to services.  However, during tours of the building, call bells were not always evidenced to be accessible to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were heard calling out by the auditor, both did not have bells within reach, this was rectified on the day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resident have access to a call system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TerraNova Homes &amp; Care Limited - Brittany Residential Care</w:t>
    </w:r>
    <w:bookmarkEnd w:id="58"/>
    <w:r>
      <w:rPr>
        <w:rFonts w:cs="Arial"/>
        <w:sz w:val="16"/>
        <w:szCs w:val="20"/>
      </w:rPr>
      <w:tab/>
      <w:t xml:space="preserve">Date of Audit: </w:t>
    </w:r>
    <w:bookmarkStart w:id="59" w:name="AuditStartDate1"/>
    <w:r>
      <w:rPr>
        <w:rFonts w:cs="Arial"/>
        <w:sz w:val="16"/>
        <w:szCs w:val="20"/>
      </w:rPr>
      <w:t>24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