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Kaylex Care Limited - Eastcare Residential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Kaylex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Eastcare Residential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February 2019</w:t>
      </w:r>
      <w:bookmarkEnd w:id="7"/>
      <w:r w:rsidRPr="009418D4">
        <w:rPr>
          <w:rFonts w:cs="Arial"/>
        </w:rPr>
        <w:tab/>
        <w:t xml:space="preserve">End date: </w:t>
      </w:r>
      <w:bookmarkStart w:id="8" w:name="AuditEndDate"/>
      <w:r w:rsidR="00A4268A">
        <w:rPr>
          <w:rFonts w:cs="Arial"/>
        </w:rPr>
        <w:t>15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Eastcare Residential Home provides rest home and dementia level care for up to 47 residents. </w:t>
      </w:r>
    </w:p>
    <w:p w:rsidRPr="00A4268A">
      <w:pPr>
        <w:spacing w:before="240" w:line="276" w:lineRule="auto"/>
        <w:rPr>
          <w:rFonts w:eastAsia="Calibri"/>
        </w:rPr>
      </w:pPr>
      <w:r w:rsidRPr="00A4268A">
        <w:rPr>
          <w:rFonts w:eastAsia="Calibri"/>
        </w:rPr>
        <w:t xml:space="preserve">This recertification audit was conducted against the New Zealand Health and Disability Services Standards and the provider’s contract with the Waikato District Health Board (WDHB). </w:t>
      </w:r>
    </w:p>
    <w:p w:rsidRPr="00A4268A">
      <w:pPr>
        <w:spacing w:before="240" w:line="276" w:lineRule="auto"/>
        <w:rPr>
          <w:rFonts w:eastAsia="Calibri"/>
        </w:rPr>
      </w:pPr>
      <w:r w:rsidRPr="00A4268A">
        <w:rPr>
          <w:rFonts w:eastAsia="Calibri"/>
        </w:rPr>
        <w:t>Changes since the previous 2017 audit include appointment of new manager in 2018 and reducing the number of beds available in a dementia wing by one.</w:t>
      </w:r>
    </w:p>
    <w:p w:rsidRPr="00A4268A">
      <w:pPr>
        <w:spacing w:before="240" w:line="276" w:lineRule="auto"/>
        <w:rPr>
          <w:rFonts w:eastAsia="Calibri"/>
        </w:rPr>
      </w:pPr>
      <w:r w:rsidRPr="00A4268A">
        <w:rPr>
          <w:rFonts w:eastAsia="Calibri"/>
        </w:rPr>
        <w:t xml:space="preserve">The resident’s family members and a general practitioner interviewed expressed their satisfaction with the care and quality of services provided. Only a small sample of residents (three) were able to be interviewed. </w:t>
      </w:r>
    </w:p>
    <w:p w:rsidRPr="00A4268A">
      <w:pPr>
        <w:spacing w:before="240" w:line="276" w:lineRule="auto"/>
        <w:rPr>
          <w:rFonts w:eastAsia="Calibri"/>
        </w:rPr>
      </w:pPr>
      <w:r w:rsidRPr="00A4268A">
        <w:rPr>
          <w:rFonts w:eastAsia="Calibri"/>
        </w:rPr>
        <w:t xml:space="preserve">Seven areas requiring improvement were identified during this audit. These relate to the timeliness and content of care plans, the provision of 24-hour activity plans for residents in the dementia units, evaluation of behaviour monitoring charts, a kitchen surface, safe storage of chemicals and the external area outside one of the dementia wings.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When complaints have been received, these are investigated, and the information related to these is recorded. Residents said they had been informed about the complaint management process and felt supported to raise any concerns.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operator and facility manager are maintaining frequent and clear communication with all staff. There is always a qualified and experienced manager available. The quality and risk management systems are well established and service delivery was being regularly monitored. Adverse events were being reliably reported, and investigated to determine cause and prevention. People impacted by an adverse event were notified. The operator understands the obligation to make essential notifications and actions this when required. </w:t>
      </w:r>
    </w:p>
    <w:p w:rsidRPr="00A4268A">
      <w:pPr>
        <w:spacing w:before="240" w:line="276" w:lineRule="auto"/>
        <w:rPr>
          <w:rFonts w:eastAsia="Calibri"/>
        </w:rPr>
      </w:pPr>
      <w:r w:rsidRPr="00A4268A">
        <w:rPr>
          <w:rFonts w:eastAsia="Calibri"/>
        </w:rPr>
        <w:t>Staff were being recruited and managed effectively. Staff training in relevant subject areas has been occurring regularly. There were adequate number of skilled and experienced staff on site to meet the needs of each resident group.</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developed, based on a comprehensive range of information and accommodate any new problems that might arise.  Files reviewed demonstrated that the care provided and needs of residents are reviewed and evaluated.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All internal and external areas were clean and the building and chattels are well maintained. Electrical equipment is tested as required. Communal and individual spaces are maintained at a comfortable temperature. Some of the external areas are accessible and safe for residents’ use. </w:t>
      </w:r>
    </w:p>
    <w:p w:rsidRPr="00A4268A">
      <w:pPr>
        <w:spacing w:before="240" w:line="276" w:lineRule="auto"/>
        <w:rPr>
          <w:rFonts w:eastAsia="Calibri"/>
        </w:rPr>
      </w:pPr>
      <w:r w:rsidRPr="00A4268A">
        <w:rPr>
          <w:rFonts w:eastAsia="Calibri"/>
        </w:rPr>
        <w:t>Waste and hazardous substances are well-managed. Staff use protective equipment and clothing. Laundry is undertaken onsite and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Residents reported a timely staff response to call bells.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Eastcare Residential Home has a philosophy and practice of no restraint. There were no restraint or enablers in use on the days of audit.</w:t>
      </w:r>
    </w:p>
    <w:p w:rsidRPr="00A4268A">
      <w:pPr>
        <w:spacing w:before="240" w:line="276" w:lineRule="auto"/>
        <w:rPr>
          <w:rFonts w:eastAsia="Calibri"/>
        </w:rPr>
      </w:pPr>
      <w:r w:rsidRPr="00A4268A">
        <w:rPr>
          <w:rFonts w:eastAsia="Calibri"/>
        </w:rPr>
        <w:t>Policies and procedures meet the requirements if a restraint is required and staff education is ongoing.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16"/>
        <w:gridCol w:w="1280"/>
        <w:gridCol w:w="92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Residents admitted to the dementia unit have an enacted enduring power of attorney and these documents were sighted in residents’ files on the day of audit.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and staff and resident interviews showed that the service is managing all complaints received according to its policy and Right 10 of the Code of Health and Disability Services Consumers’ Rights (the Code).  The complaints register showed four complaints received since the previous audit. The documentation attached to these confirmed investigations occurred and that these were resolved to the satisfaction of the people involved. A resident interviewed was fully informed about the complaints process and said they had no hesitation in raising concerns or lodging complaints. They had experience of their complaint being taken seriously and said that action was taken immediately to address the matter. There have been no complaints received by the DHB or the Office of the Health and Disability Commissioner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as part of the admission information pack, resident agreement and discussion with staff. The Code is displayed in the main foyer areas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different activities and participation in clubs of their choosing for example volunteering for hospice, care in craft, attending church and events occurring in the community.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 clinical leader interviewed reported that there are three residents who affiliate with their Maori culture. There are no barriers in supporting residents who are admitted to the facility who identify as Māori.  There is no specific current Māori health plan, however all values and beliefs that are important to the resident are acknowledged with the support of the Te Whare Tapa Wha model and evidenced and integrated into long-term care plans with input from cultural advisers within the local community as required.  Guidance on tikanga best practice is available and is supported by staff who identify as Māori in the facility.  Whanau were not available for interview, however the Māori resident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were consulted on their individual culture, values and beliefs and that staff respected these. Resident’s personal preferences, required interventions and special needs were included in care plans reviewed including the attending of church and right to privacy. The resident satisfaction survey and minutes of the residents’ meeting confirmed that individual needs are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knocking on residents’ doors before entering and day to day conversation between staff,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being able to speak English, staff able to provide interpretation as and when needed and the support of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there were 36 residents occupying the available maximum of 46 beds. Twelve of these are assessed as requiring rest home level care and 24 people, across two separate dementia wings, requiring secure care. Two of the rest home residents are funded by the Accident Compensation Commission and the records for one of these was reviewed in depth.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who has been employed since 2018, is a registered nurse with a current practising certificate. The manager is attending ongoing performance development in subject areas related to nursing and management. The manager and owners have regular contact with other age care providers and relevant DHB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company (Kaylex Care Ltd) has an overarching strategic/business and risk plan for the three facilities it operates and each facility has a unique annual business plan. Review of the 2018/19 plan for Eastcare Residential Home showed that goals within it are monitored and updated by the company’s senior management team. This team comprises the two owners, a general manager and an operations manager. The facility manager reports to all members of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their role is substituted by the owner/operator who is an RN and has many years’ clinical experience working on site. This person visits the facility at least weekly and is informed about the residents and their care needs. The owner/operator is always on call for advice as is the operations manager who is an RN from another facility in the group. A senior caregiver also steps up to oversee management of the facility from time to time. Staff and the families and residents interviewed said services were managed to their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pre-audit document review confirmed that the organisation’s policies and procedures are controlled, and are updated two yearly or as required to meet known best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interviewed confirmed they are consulted about any proposed changes in service and are being kept informed by monthly residents’ meetings or notices. </w:t>
            </w:r>
          </w:p>
          <w:p w:rsidR="00EB7645" w:rsidRPr="00BE00C7" w:rsidP="00BE00C7">
            <w:pPr>
              <w:pStyle w:val="OutcomeDescription"/>
              <w:spacing w:before="120" w:after="120"/>
              <w:rPr>
                <w:rFonts w:cs="Arial"/>
                <w:b w:val="0"/>
                <w:lang w:eastAsia="en-NZ"/>
              </w:rPr>
            </w:pPr>
            <w:r w:rsidRPr="00BE00C7">
              <w:rPr>
                <w:rFonts w:cs="Arial"/>
                <w:b w:val="0"/>
                <w:lang w:eastAsia="en-NZ"/>
              </w:rPr>
              <w:t>Quality data such as incidents/accidents and infections are collated, analysed and shared at the facility managers' monthly ‘Skype’ meeting. Statistical and narrative data is displayed in the staff room, any events are communicated at shift handover, and unwanted trends are discussed at bi-monthly staff meetings. There is documented evidence of corrective actions on incident/accident reports, on the internal audit tools where a deficit or gap is identified, in the hazards register, and in complaints documentation. The service also completes quality improvement plans when service deficiencies or opportunities to improve are identified. A quality initiative to closely monitor the weight of residents at risk has been recently implemented. The new approach uses an industry standardised assessment tool to monitor how an individual’s energy output is replenished.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annual quality plan, business plan and associated emergency plans, document actual and potential risk to the business, service delivery, staff and/or visitors’ health and safety. Health and safety policies are compliant with the current legislation and interviews confirmed that the owners understood their obligations. Environmental risks are communicated to visitors, staff and consumers as required through notices, or verbally, depending on the nature of the risk.  Review of staff meeting minutes showed that health and safety including the hazard register and risks related to residents are discussed.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well established and managed processes for the reporting, recording, investigation and review of all incidents and accidents. Review of onsite documents and interviews with staff and management confirmed these are reviewed and discussed at staff meetings. Adverse event data is collated and analysed monthly by the facility nurse manager and then reported to the general manager, the owners and the other facility managers. The collated results and a narrative summary are displayed in the staff room. Staff confirmed that they are kept informed about incident and accident trends.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review of incident data on the days of audit confirmed that incidents are communicated at shift handover, and trends are discussed at staff meetings. Each resident’s care record contained a summary of incidents which facilitates a ready review of risks. </w:t>
            </w:r>
          </w:p>
          <w:p w:rsidR="00EB7645" w:rsidRPr="00BE00C7" w:rsidP="00BE00C7">
            <w:pPr>
              <w:pStyle w:val="OutcomeDescription"/>
              <w:spacing w:before="120" w:after="120"/>
              <w:rPr>
                <w:rFonts w:cs="Arial"/>
                <w:b w:val="0"/>
                <w:lang w:eastAsia="en-NZ"/>
              </w:rPr>
            </w:pPr>
            <w:r w:rsidRPr="00BE00C7">
              <w:rPr>
                <w:rFonts w:cs="Arial"/>
                <w:b w:val="0"/>
                <w:lang w:eastAsia="en-NZ"/>
              </w:rPr>
              <w:t>The owner is responsible for essential notifications and reporting and understood the statutory and regulatory obligations. There have been no incidents requiring notification to the DHB or Ministry of Health. The appointment of a new manager was notified in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 new caregiver reported that the orientation process prepared them well for their role. Another staff member said they had no orientation to their specific role, but this was disputed with them by the owner/operator at the time. This person’s staff record and other personnel records reviewed contained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Staff working in the dementia care areas have either completed or are enrolled in the required education. The facility manager is maintaining annual competency requirements to undertake interRAI assessments and an external RN is contracted to complete these assessments on site. The effectiveness of this requires review as a lack of detail in some long-term care plans was identified (refer to criterion 1.3.5.2) </w:t>
            </w:r>
          </w:p>
          <w:p w:rsidR="00EB7645" w:rsidRPr="00BE00C7" w:rsidP="00BE00C7">
            <w:pPr>
              <w:pStyle w:val="OutcomeDescription"/>
              <w:spacing w:before="120" w:after="120"/>
              <w:rPr>
                <w:rFonts w:cs="Arial"/>
                <w:b w:val="0"/>
                <w:lang w:eastAsia="en-NZ"/>
              </w:rPr>
            </w:pPr>
            <w:r w:rsidRPr="00BE00C7">
              <w:rPr>
                <w:rFonts w:cs="Arial"/>
                <w:b w:val="0"/>
                <w:lang w:eastAsia="en-NZ"/>
              </w:rPr>
              <w:t>The sample of staff records reviewed showed attendance at ongoing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process for determining staffing levels and skill mixes to provide safe service delivery, 24 hours a day, seven days a week (24/7) is documented and implemented. The facility adjusts staffing levels to meet the changing needs of residents. Care staff reported there were adequate staff available to complete the work allocated to them.  Residents and the family member interviewed supported this. Observations and review of a four-week roster cycle confirmed adequate staff cover has been provided, with absent staff replaced by casual or bureau staff.  All the care staff on duty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and/or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Residents admitted to the dementia unit have been seen by a specialist and admission agreements sighted showed the resident’s enduring power of attorney has consented for the resident to be admitted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documentation of discussions had with the GP, ambulance and family before transfer.  Transfer notes showed that all required information was provided with use of the ‘yellow envelope’.  Progress notes also showed ongoing communication between the facility and local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  Standing orders are not used.  Vaccines are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one cook and kitchen team, and is in line with recognised nutritional guidelines for older people.  The menu follows summer and winter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but the wooden servery/cabinet in the main dining room needs repairs.  The service operates with an approved food safety plan and registration issued by Ministry of Primary Industries and expires 27 June 2019. Food temperatures, including for high risk items, are monitored appropriately and recorded as part of the plan. The chef has undertaken a safe food handling qualification.  All but one kitchen assistant has completed relevant food handling training.  Training in food handling is booked for March 2019 for this person.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and depression scale, as a means to identify any deficits and to inform care planning. The sample of care plans reviewed had an integrated range of resident-related information.  All residents have current interRAI assessments completed by the clinical leader who is a trained interRAI assessor.  An independent contractor, a trained interRAI assessor/registered nurse, visits the facility once a week to assist with the completing of interRAI assessments as required.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in the GP’s, progress notes, short term care plans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Long term care plans reviewed did not always reflected the support needs of residents, and the outcomes of the integrated assessment process and other relevant clinical information. The needs identified by the interRAI assessments were not always reflected in the long term care plans reviewed.  Not all resident’s files reviewed had a behaviour management plan that included triggers and interventions for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good.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currently provided by the activities co-ordinator as the facility’s diversional therapist had recently resigned and was no longer at the facility.  The facility manager interviewed stated that a new diversional therapist has been appointed and is due to commence work at the facility 4 March 2019.  They will be working alongside the activities co-ordinator and both staff will continue to support the residents Monday to Friday 9.00 am to 5.00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satisfaction surveys and day to day discussions with residents and families. Residents interviewed confirmed they find the programme exciting and fun.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separate calendar has been developed for residents in the dementia unit, however a lot of the planned activities see residents from both the rest home and dementia unit participating together.   All residents are encouraged to part take in planned activities within the facility and regularly out in the community, for example, attending the movies, shopping trips, daily walks and special events organised.  Specific activities/events are also planned for ladies and men to separately attend, such as high tea and visiting the motor car museum. </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in the secure dementia units are specific to the needs and abilities of the people living there. Activities are offered at times when residents are most physically active and/or restless.  These activities included regular walks around and outside the facility, activities known to distract the resident and one to one support, however residents’ files reviewed in the dementia unit did not have a 24-hour behaviour activity clock to support the residents who exhibit different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If any change is noted, it is reported to the RN.  Formal care plan evaluations occur every six months in conjunction with the six-monthly interRAI reassessment, or as residents’ needs change.  Evaluations of behaviour monitoring forms does not occur.   Where progress is different from expected, the service responds by initiating changes to the plan of care. Examples of short-term care plans being consistently reviewed and progress evaluated as clinically indicated were noted for infections, wounds, weight loss and falls.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mental health services for older people, respiratory and cardiac teams. The resident and the family/whānau are kept informed of the referral process, as verified by documentation and interviews. Any acute/urgent referrals are attended to immediately, such as sending the resident to accident and emergency in an ambulance if the circumstances dictate.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handle chemicals have completed safe chemical handling training. An external company is contracted to supply and manage chemicals and cleaning products and provide staff with product information.  Material safety data sheets were available where cleaning and laundry chemicals are stored, and staff interviewed knew what to do should any chemical spill/event occur.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 products were accessible to residents in both dementia wings, an improvement is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01 December 2019) is publicly displayed. There has been a change to the interior of Tui (secure unit) since the previous 2017 audit. One bedroom has been decommissioned to accommodate more space in the dining room. This has not affected the fire evacuation plan. The outside area for residents in Tui wing (dementia) is neglected and the gardens contained noxious weeds, this requires improvement. Otherwise the building layout, design features and furniture in both dementia units is safe and suited for the needs of confused older people. There are pictorial signs on the toilets and bathrooms and each resident’s bedroom is identified with name and images that the individual relates to.</w:t>
            </w:r>
          </w:p>
          <w:p w:rsidR="00EB7645" w:rsidRPr="00BE00C7" w:rsidP="00BE00C7">
            <w:pPr>
              <w:pStyle w:val="OutcomeDescription"/>
              <w:spacing w:before="120" w:after="120"/>
              <w:rPr>
                <w:rFonts w:cs="Arial"/>
                <w:b w:val="0"/>
                <w:lang w:eastAsia="en-NZ"/>
              </w:rPr>
            </w:pPr>
            <w:r w:rsidRPr="00BE00C7">
              <w:rPr>
                <w:rFonts w:cs="Arial"/>
                <w:b w:val="0"/>
                <w:lang w:eastAsia="en-NZ"/>
              </w:rPr>
              <w:t>Electrical equipment was tested and tagged in September 2018. Visual inspection, records reviewed and interviews with maintenance staff and the operators confirmed that planned and reactive repairs and maintenance is ongoing. The building, chattels and equipment is in good repair. Medical equipment ( for example, blood pressure monitors, weigh scales, and the standing hoist) are serviced and recalibrated according to the suppliers recommendations.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sufficient numbers of accessible bathroom and toilet facilities throughout the facility. All toilet and shower facilities are shared, with a total of seven bathrooms and eleven toilets allocated for residents. All bathrooms and toilets have functional locking systems for privacy. A staff and a visitors’ toilet are designated. Appropriately secured and approved handrails are provided in the toilet/shower areas, and other equipment/accessories are available to promote residents’ independence. All ablution areas are in good condition. The testing and monitoring of hot water temperatures occurs monthly. Records showed that temperatures are within a safe range.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have a single occupant. Attention is paid to the layout of furniture in bedrooms to allow residents and staff to move around safely. There was evidence that residents had their own furniture and possessions. Sufficient space is available in corridors and most rooms to store mobility aids and wheel 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three wings has its own lounge and dining room and these are located within easy walking distance from the resident’s bedrooms. The dining area in one of the dementia wings has been increased in size by removing a bedroom. There is a separate quiet area where families can visit their relatives inside and outside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Designated cleaning and laundry staff are on site seven days a week. These staff have achieved qualifications in safe handling of chemicals and are provided with ongoing health and safety education as confirmed in interview with staff and review of their personnel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established routines for cleaning and all areas are maintained as hygienic. Site inspection revealed no concerns with daily cleaning. Chemicals are decanted into clearly labelled containers (refer to 1.4.2 for improvement required regards resident access to cleaning chemicals).   </w:t>
            </w:r>
          </w:p>
          <w:p w:rsidR="00EB7645" w:rsidRPr="00BE00C7" w:rsidP="00BE00C7">
            <w:pPr>
              <w:pStyle w:val="OutcomeDescription"/>
              <w:spacing w:before="120" w:after="120"/>
              <w:rPr>
                <w:rFonts w:cs="Arial"/>
                <w:b w:val="0"/>
                <w:lang w:eastAsia="en-NZ"/>
              </w:rPr>
            </w:pPr>
            <w:r w:rsidRPr="00BE00C7">
              <w:rPr>
                <w:rFonts w:cs="Arial"/>
                <w:b w:val="0"/>
                <w:lang w:eastAsia="en-NZ"/>
              </w:rPr>
              <w:t>All the laundry is being managed on site according to known protocols for dirty/clean flow and the handling of soiled linen. There have been no concerns expressed from staff, resident or relatives about cleaning or laundry services since the previous audit.  Cleaning and laundry processes are routinely monitored for effectiveness via the internal audit programme, from the external cleaning product supplier and through resident/family surveys and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A fire evacuation plan has been approved by the New Zealand Fire Service. The most recent fire drill occurred in December 2018 and was repeated in January 2019 to ensure all staff had attended. Staff interviews confirmed their understanding of evacuation procedures in the two dementia wings. The recent trial evacuations did not identify any issues of concern in moving residents to safety. The orientation programme includes fire and security training.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communication devices (a walkie talkie) and gas BBQ’s were sighted and meet the requirements for the maximum number of residents. Sufficient potable water (400 litres) is stored in the building to meet the needs of 46 residents for three days. Apart from a backup battery for lighting (which is regularly tested) there are no generators on site for power outages. The protocol is to hire one.</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Staff were observed to respond within reasonable timeframes to these.</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There are security stays on all windows.  The only access to the building is via the main entrance, and this door is locked at a 5pm each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bedrooms and communal areas have sufficiently sized windows and opening doors for ventilation. Each communal area has at least one heat pump which provides warmth or cooling and electric panel heaters are in each bedroom. Family and residents interviewed said the home was kept at a comfortable temperature in all seasons.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an external provider as required.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leader/registered nurse is the designated IPC coordinator and supported by a senior caregiver whose role and responsibilities are defined in a job description. Infection control matters, including surveillance results, are reported monthly to the facility manager and tabled at the monthly full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provides guidance for staff about how long they must stay away from work if they have been unwell and that signage will be placed at the main entrance in the event of an infectious outbreak.  A bi-yearly newsletter is sent out to all families and reminds them that if they have been unwell in the past 48 hours, not to enter the facility.   Staff interviewed understood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since March 2018.  She has undertaken external training in infection prevention and control and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January 2019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sanitiser dispensers, gloves and hand washing signs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coordinator/registered nurse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Twenty-seven residents and 22 staff consented to the flu vaccine in June 2018.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36 infections since June 2018 through to and including January 2019.  Residents’ files reviewed highlighted short term and long-term care planning to reduce and minimise the risk of infection.   Care staff interviewed demonstrated knowledge of residents who have a higher risk of infections and the interventions required.   Benchmarking does not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no restraint or enablers in use at the time of this audit and it has always taken the approach of using alternatives to restraint. The only restraint interventions have been one off emergency restraint events. The last events recorded were in 2015. This is made clear in the organisation's restraint minimisation and safe practice policies and associated procedures. The reviewed policy meets the required Health and Disability Services Standards and clearly describes emergency restraint authorisations and the requirements to meet this standard if restraint is required. The definition of an enabler is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Sensor mats are in position to alert staff when residents who pose a falls risk are ambulatory. In-service education focuses on alternatives to restraint and managing challenging behaviour. Interviews with the staff and review of individual training records confirmed that education on maintaining a restraint free environment and safe practice occurs at orientation and at least every year after that.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0"/>
        <w:gridCol w:w="1280"/>
        <w:gridCol w:w="6887"/>
        <w:gridCol w:w="2292"/>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preparation, storage and delivery complies with current legislation and guidelines.  The chef interviewed was aware of the guidelines.  There is a cleaning schedule which is signed off as required when completed.  The wooden servery/cabinet in the dining room was observed to be clean, however requires some maintenance.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surface of the food servery cabinet in the rest-home dining room is deteriorated and poses an infection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surfaces in the food services area are intact and able to be cleaned.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evident from staff interviewed that they knew the residents well.  Family/whanau interviewed stated that they were happy with the care and communication provided.  An initial assessment and short-term care plan had been created when the residents were admitted.  Progress notes sighted showed specific interventions and support that was provided by staff.  Two residents admitted to the facility in October 2018 did not have long term care plans developed within 21 working days of admission as required.  The same two residents at the time of audit do not have long term plans to support staff in caring for the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six residents’ long-term care plans are not completed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each stage of provision is provided within the required timeframes to safely meet the needs of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individual details and client specific initial care plans developed at the time of admission.  All residents have an interRAI assessment completed.  Staff interviewed stated that they knew the residents very well and were able to identify and meet their needs.  Residents and families confirmed their involvement in the assessment process.  Six residents’ files were initially reviewed from the rest home and dementia unit and the sample then extended to include a further five residents’ files.  Five of 11 residents’ files did not have interventions in the residents’ long-term care plans that reflected the information recorded in the interRAI assessment nor interventions individual and specific to the resident.   Five of five residents’ files in the dementia unit did not have a behaviour management care plan including triggers and related interventions.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residents’ long-term care plans reflected the current and individual needs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Not all residents in the dementia unit had a behaviour management care plan that identified triggers and related interventions of the resident presenting with a challenging behaviour.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residents are receiving care that meets their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had an individual challenging behaviour form that identified the behaviour, intervention and outcome.  Staff interviewed stated that they knew the residents very well and were able to identify and meet their needs.  Observation on the day of audit identified residents in the dementia unit exhibiting different behaviours, and the staff supported the residents well with activities, distractions techniques and one to one support.  Families confirmed their involvement in the assessment process and care provided.  Three residents’ files were initially reviewed and extended to five files as the 24-hour behaviour activity clock to identify behaviours that are exhibited by the resident and activities had not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eight residents’ files reviewed in the dementia unit did not have a 24-hour behaviour clock to support management of the residents’ challenging behaviours.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residents in the dementia unit have a 24-hour challenging behaviour activity clock to meet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knew the residents well and when interviewed could recall the interventions best suited to reduce and minimise the resident’s presenting challenging behaviour and meet the needs of the resident. Evaluations of short-term care plans were sighted.  Three residents’ files in the dementia area were initially reviewed and this sample was extended to five files.   These five residents in the dementia unit who presented with challenging behaviours had behaviour monitoring forms that had not been evaluated to support care planning and the development of the 24-hour behaviour activity clock.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residents’ files reviewed in the dementia unit have behaviour charts to show challenging behaviours, interventions and outcomes but this information has not been evaluated.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behaviour monitoring charts are evaluated to identify possible trends and support care planning.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there ware policies and processes for maintaining a safe environment which includes staff being informed about this during orientation, an incident of harm to a resident who had ingested soap was reported by staff in 2018.  Shampoo and bars of soap were found in the communal showers of Korimako (a dementia unit) and cleaning products had been left out by a new cleaner in the other dementia unit on day one of the audit. One of the cleaners advised they always check and remove potentially harmful products when found.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Confused residents have access to potentially toxic substances (cleaning products, soap bars and shampoo). These were removed on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chemical products are always stored safely and not within reach of confused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Inspection of all external areas confirmed that dementia residents in the two wings, have access to the safe and secure outside spaces. Rest home residents have ready access to external areas including the facility main entry and exit.  There are shade and safe seating areas from each of the three wings. The gardens outside Tui are neglected and contained noxious plants (Belladonna) which were removed during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garden in Tui wing contains plants that are noxious and potentially harmful to humans. These plants were removed on day one of the audit. The area has become neglected and run down and requires renovation to provide residents an interesting and safe place to explore.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external areas are safe and suitable for confused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Kaylex Care Limited - Eastcare Residential Home</w:t>
    </w:r>
    <w:bookmarkEnd w:id="58"/>
    <w:r>
      <w:rPr>
        <w:rFonts w:cs="Arial"/>
        <w:sz w:val="16"/>
        <w:szCs w:val="20"/>
      </w:rPr>
      <w:tab/>
      <w:t xml:space="preserve">Date of Audit: </w:t>
    </w:r>
    <w:bookmarkStart w:id="59" w:name="AuditStartDate1"/>
    <w:r>
      <w:rPr>
        <w:rFonts w:cs="Arial"/>
        <w:sz w:val="16"/>
        <w:szCs w:val="20"/>
      </w:rPr>
      <w:t>14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