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Avonlea Dementia Care Limited - Avonlea Dementia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Avonlea Dementia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Avonlea Dementia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Medical services; Hospital services - Geriatric services (excl. psychogeriatric);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13 February 2019</w:t>
      </w:r>
      <w:bookmarkEnd w:id="7"/>
      <w:r w:rsidRPr="009418D4">
        <w:rPr>
          <w:rFonts w:cs="Arial"/>
        </w:rPr>
        <w:tab/>
        <w:t xml:space="preserve">End date: </w:t>
      </w:r>
      <w:bookmarkStart w:id="8" w:name="AuditEndDate"/>
      <w:r w:rsidR="00A4268A">
        <w:rPr>
          <w:rFonts w:cs="Arial"/>
        </w:rPr>
        <w:t>13 February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Avonlea Dementia Care provides hospital (medical, geriatric and psychogeriatric) and dementia level care for up to 65 residents.  The service is divided into six smaller home-like care units, one hospital unit, one psychogeriatric care unit and four dementia care units.  Occupancy on the days of audit was 53 residents. </w:t>
      </w:r>
    </w:p>
    <w:p w:rsidRPr="00A4268A">
      <w:pPr>
        <w:spacing w:before="240" w:line="276" w:lineRule="auto"/>
        <w:rPr>
          <w:rFonts w:eastAsia="Calibri"/>
        </w:rPr>
      </w:pPr>
      <w:r w:rsidRPr="00A4268A">
        <w:rPr>
          <w:rFonts w:eastAsia="Calibri"/>
        </w:rPr>
        <w:t>This unannounced surveillance audit was conducted against a subset of the Health and Disability Standards and the contract with the district health board.  The audit process included the review of policies and procedures, the review of residents and staff files, observations, and interviews with family, General Practitioner, management and staff.</w:t>
      </w:r>
    </w:p>
    <w:p w:rsidRPr="00A4268A">
      <w:pPr>
        <w:spacing w:before="240" w:line="276" w:lineRule="auto"/>
        <w:rPr>
          <w:rFonts w:eastAsia="Calibri"/>
        </w:rPr>
      </w:pPr>
      <w:r w:rsidRPr="00A4268A">
        <w:rPr>
          <w:rFonts w:eastAsia="Calibri"/>
        </w:rPr>
        <w:t xml:space="preserve">An operations manager and clinical manager, manage the service on a day-to-day basis.  The management team are experienced with dementia level care.  They are supported by an organisational management team from DCNZ.  The families interviewed all spoke positively about the care and support provided.  </w:t>
      </w:r>
    </w:p>
    <w:p w:rsidRPr="00A4268A">
      <w:pPr>
        <w:spacing w:before="240" w:line="276" w:lineRule="auto"/>
        <w:rPr>
          <w:rFonts w:eastAsia="Calibri"/>
        </w:rPr>
      </w:pPr>
      <w:r w:rsidRPr="00A4268A">
        <w:rPr>
          <w:rFonts w:eastAsia="Calibri"/>
        </w:rPr>
        <w:t>The service has addressed the two previous certification shortfalls around assessments and implementation of care.</w:t>
      </w:r>
    </w:p>
    <w:p w:rsidRPr="00A4268A">
      <w:pPr>
        <w:spacing w:before="240" w:line="276" w:lineRule="auto"/>
        <w:rPr>
          <w:rFonts w:eastAsia="Calibri"/>
        </w:rPr>
      </w:pPr>
      <w:r w:rsidRPr="00A4268A">
        <w:rPr>
          <w:rFonts w:eastAsia="Calibri"/>
        </w:rPr>
        <w:t>This audit has identified one improvement required around care plan interventions.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has an open disclosure policy stating residents and/or their representatives have a right to full and frank information and open disclosure from service providers.  Family members are informed in a timely manner when their family members health status changes.  A system for managing complaints is in place.  The rights of the resident and/or their family to make a complaint is understood, respected and upheld by the service.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Goals are documented for the service with evidence of regular reviews.  A quality and risk management programme is embedded into practice.  Corrective actions are implemented and evaluated where opportunities for improvements are identified.  Residents receive appropriate services from suitably qualified staff.  Human resources are managed in accordance with good employment practice.  An orientation programme is in place for new staff.  An education and training plan is implemented and includes in-service education and competency assessments.  A professional development process is in situ for regulated staff.  Registered nursing cover is provided twenty-four hours a day, seven days a week.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Initial assessments are completed by a registered nurse, including interRAI assessments.  The registered nurses complete care plans and evaluations.  Care plans reviewed were based on the interRAI outcomes and other assessments.  </w:t>
      </w:r>
    </w:p>
    <w:p w:rsidRPr="00A4268A" w:rsidP="00621629">
      <w:pPr>
        <w:spacing w:before="240" w:line="276" w:lineRule="auto"/>
        <w:rPr>
          <w:rFonts w:eastAsia="Calibri"/>
        </w:rPr>
      </w:pPr>
      <w:r w:rsidRPr="00A4268A">
        <w:rPr>
          <w:rFonts w:eastAsia="Calibri"/>
        </w:rPr>
        <w:t>Medications are managed in line with current legislation and guidelines.</w:t>
      </w:r>
    </w:p>
    <w:p w:rsidRPr="00A4268A" w:rsidP="00621629">
      <w:pPr>
        <w:spacing w:before="240" w:line="276" w:lineRule="auto"/>
        <w:rPr>
          <w:rFonts w:eastAsia="Calibri"/>
        </w:rPr>
      </w:pPr>
      <w:r w:rsidRPr="00A4268A">
        <w:rPr>
          <w:rFonts w:eastAsia="Calibri"/>
        </w:rPr>
        <w:t xml:space="preserve">The activity programme includes meaningful activities that meet the recreational needs and preferences of each resident.  Individual activity plans are developed in consultation with resident/family.  </w:t>
      </w:r>
    </w:p>
    <w:p w:rsidRPr="00A4268A" w:rsidP="00621629">
      <w:pPr>
        <w:spacing w:before="240" w:line="276" w:lineRule="auto"/>
        <w:rPr>
          <w:rFonts w:eastAsia="Calibri"/>
        </w:rPr>
      </w:pPr>
      <w:r w:rsidRPr="00A4268A">
        <w:rPr>
          <w:rFonts w:eastAsia="Calibri"/>
        </w:rPr>
        <w:t>Meals are prepared in the main kitchen and delivered in hot boxes to each unit.  The menu is varied and appropriate.  Individual and special dietary needs are catered for.  Alternative options are provided.  The resident and relatives interviewed were complimentary about the food service.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  The facility is divided into six separate units.  Residents’ rooms are of sufficient space to allow services to be provided and for the safe use and manoeuvring of mobility aids.  Resident rooms are personalised.  There are lounge and dining areas in each unit.  Furniture is appropriate to the setting and arranged in a way that allows residents to mobilise.  Communal living areas and resident rooms are appropriately heated and ventilated.  Residents have access to natural light in their rooms and there is adequate external light in communal areas.  External garden areas are available with suitable pathways, security, seating and shade provided.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policy and procedures are in place.  The definitions of restraints and enablers are congruent with the definitions in the restraint minimisation standard.  There were seven residents using restraints and no residents utilising enablers.  A register is maintained by the restraint coordinator/registered nurse (RN).  Staff regularly receive education and training on restraint minimisation and managing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is appropriate for the size and complexity of the service.  The infection control nurse (registered nurse) is responsible for coordinating the infection control programme and providing education and training for staff.  Information is obtained through surveillance to determine infection control activities.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complaints process.  Information about complaints is provided on admission.  Management operates an open-door policy.  Interviews with four relatives confirmed an understanding of the complaints process.  There is an up-to-date online complaint register.  There have been 11 complaints (verbal and written) received in 2018 to current date.  All complaints reviewed had noted investigation, timeframes and corrective actions, including letters of acknowledgement.  The response to an HDC complaint received in November 2018 was sighted.  The service is proactive around identifying opportunities for improvements from complaints received and corrective actions are routinely developed and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open disclosure policy in place, information on which is included at the time of admission.  A site-specific introduction to the dementia/psychogeriatric unit booklet provides information for family, friends and visitors to the facility.  Accident/incidents, complaints procedures and the policy and process around open disclosure alerts staff to their responsibility to notify family/next of kin of any accident/incident.  Thirteen incidents/accidents forms were reviewed from across the service for February 2019.  All incident/accident forms reviewed indicate family are informed.  Four relatives (two hospital and two dementia) interviewed confirmed they are notified of any changes in their family member’s health status.  There were no residents able to be interviewed.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provides care for up to 65 residents requiring hospital, psychogeriatric and secure dementia (rest home) level care.  On the day of the audit there were 53 residents.</w:t>
            </w:r>
          </w:p>
          <w:p w:rsidR="00EB7645" w:rsidRPr="00BE00C7" w:rsidP="00BE00C7">
            <w:pPr>
              <w:pStyle w:val="OutcomeDescription"/>
              <w:spacing w:before="120" w:after="120"/>
              <w:rPr>
                <w:rFonts w:cs="Arial"/>
                <w:b w:val="0"/>
                <w:lang w:eastAsia="en-NZ"/>
              </w:rPr>
            </w:pPr>
            <w:r w:rsidRPr="00BE00C7">
              <w:rPr>
                <w:rFonts w:cs="Arial"/>
                <w:b w:val="0"/>
                <w:lang w:eastAsia="en-NZ"/>
              </w:rPr>
              <w:t>The service is divided into six smaller home environments.  This includes an 11-bed psychogeriatric unit (occupancy 10 residents, all under the ARHSS contract), a 10-bed hospital unit (occupancy 9 residents all under the ARC contract), an 8-bed dementia unit including one dedicated respite bed (occupancy 7 residents, all under ARC contract), a 16-bed dementia unit (occupancy 11 residents, all under ARC contract) and two 10-bed dementia units (occupancy 7 and 9 residents, including one resident on a Close and Interest contract).</w:t>
            </w:r>
          </w:p>
          <w:p w:rsidR="00EB7645" w:rsidRPr="00BE00C7" w:rsidP="00BE00C7">
            <w:pPr>
              <w:pStyle w:val="OutcomeDescription"/>
              <w:spacing w:before="120" w:after="120"/>
              <w:rPr>
                <w:rFonts w:cs="Arial"/>
                <w:b w:val="0"/>
                <w:lang w:eastAsia="en-NZ"/>
              </w:rPr>
            </w:pPr>
            <w:r w:rsidRPr="00BE00C7">
              <w:rPr>
                <w:rFonts w:cs="Arial"/>
                <w:b w:val="0"/>
                <w:lang w:eastAsia="en-NZ"/>
              </w:rPr>
              <w:t>There is a strong focus within the organisation to promote independence, to value the lives of residents and staff and this is supported by the vision and values statement of the organisation.  There is a strategic plan for 2018-2021 and a business plan for 2018-2019 in place for all DCNZ facilities.  The 2018 organisational goals are in the process of being reviewed by the governance team.  There are 2019 organisational and site-specific quality goals developed.</w:t>
            </w:r>
          </w:p>
          <w:p w:rsidR="00EB7645" w:rsidRPr="00BE00C7" w:rsidP="00BE00C7">
            <w:pPr>
              <w:pStyle w:val="OutcomeDescription"/>
              <w:spacing w:before="120" w:after="120"/>
              <w:rPr>
                <w:rFonts w:cs="Arial"/>
                <w:b w:val="0"/>
                <w:lang w:eastAsia="en-NZ"/>
              </w:rPr>
            </w:pPr>
            <w:r w:rsidRPr="00BE00C7">
              <w:rPr>
                <w:rFonts w:cs="Arial"/>
                <w:b w:val="0"/>
                <w:lang w:eastAsia="en-NZ"/>
              </w:rPr>
              <w:t>The operations manager and clinical manager have had many years’ experience with DCNZ and working with people with dementia.  There are monthly quality reports which include benchmarking across DCNZ and monthly operations reports.</w:t>
            </w:r>
          </w:p>
          <w:p w:rsidR="00EB7645" w:rsidRPr="00BE00C7" w:rsidP="00BE00C7">
            <w:pPr>
              <w:pStyle w:val="OutcomeDescription"/>
              <w:spacing w:before="120" w:after="120"/>
              <w:rPr>
                <w:rFonts w:cs="Arial"/>
                <w:b w:val="0"/>
                <w:lang w:eastAsia="en-NZ"/>
              </w:rPr>
            </w:pPr>
            <w:r w:rsidRPr="00BE00C7">
              <w:rPr>
                <w:rFonts w:cs="Arial"/>
                <w:b w:val="0"/>
                <w:lang w:eastAsia="en-NZ"/>
              </w:rPr>
              <w:t>An organisational operations management leader, national clinical manager, quality systems manager, company clinical director, company educator/psychiatric RN and directors provide support to the team at Avonlea.  The company director and quality systems manager were present for interview at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operations manager and the clinical manager have each attended at least eight hours of education in the past 12 months in relation to their respective roles.  The organisation holds an annual training day for all operations managers and all clinical managers.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quality plan that includes quality goals and risk management plans for Avonlea.  The quality programme is managed by the operations manager and clinical manager.  A quality systems manager for the organisation oversees the quality programme ensuring all aspects of quality management is implemented including follow up on corrective actions.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Organisational policies meet all current requirements and are reviewed at head office.  Staff have access to the policy manuals.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and review of meetings minutes confirmed that there is discussion about quality data/trends/corrective actions at various facility meetings including (but not limited to) monthly quality improvement meetings and clinical meetings.  Data is collected in relation to a variety of quality activities and a register is maintained of corrective actions identified through all quality activities.  The internal audit programme continues to be implemented and all issues identified had corrective action plans and resolutions.  Resident Event Analysis monthly meetings are completed.  A 6-monthly analysis report and an annual analysis report reviews incidents and monitors progress to their objective of reducing falls by 25%.</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proactive in developing and implementing quality initiatives.  </w:t>
            </w:r>
          </w:p>
          <w:p w:rsidR="00EB7645" w:rsidRPr="00BE00C7" w:rsidP="00BE00C7">
            <w:pPr>
              <w:pStyle w:val="OutcomeDescription"/>
              <w:spacing w:before="120" w:after="120"/>
              <w:rPr>
                <w:rFonts w:cs="Arial"/>
                <w:b w:val="0"/>
                <w:lang w:eastAsia="en-NZ"/>
              </w:rPr>
            </w:pPr>
            <w:r w:rsidRPr="00BE00C7">
              <w:rPr>
                <w:rFonts w:cs="Arial"/>
                <w:b w:val="0"/>
                <w:lang w:eastAsia="en-NZ"/>
              </w:rPr>
              <w:t>The following surveys were completed in 2018, restraint response survey (positive outcome with no required corrective actions), post admission survey (positive outcome with no required corrective actions), respite survey (positive outcome with one required corrective action), and welfare guardian survey with an overall outcome of 92%.  Survey results are shared with staff and relatives.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Health and Safety Committee which comprises of staff from across the service.  All committee members have completed external health and safety education.  The service has an implemented health and safety management system.  There are risk management, and health and safety policies and procedures in place including accident and hazard management.  Falls prevention strategies are in place that includes assessment of risk, medication review, assessments with physiotherapy input and exercises/physical activities.  There is monthly analysis of falls incidents and the identification of interventions on a case-by-case basis to minimise future fall.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accidents and incidents reporting policy.  An online incident/accident register is maintained.  The clinical manager investigates accidents and near misses and analysis of incident trends occurs.  There is a discussion of incidents/accidents at the resident event analysis meeting, quality and clinical meetings including actions to minimise recurrence.  An RN conducts clinical follow-up of residents.  Thirteen incident forms reviewed demonstrated that all appropriate clinical follow-up and investigation had occurred following incidents.  Neurological observations were completed for two resident falls reviewed with a potential head injury.  Discussions with the operations manager and clinical manager confirmed that there is an awareness of the requirement to notify relevant authorities in relation to essential notifications and were able to provide examples.  An outbreak was reported April 2018 through public health.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management policies in place.  This includes that the recruitment and staff selection process requires that relevant checks are completed to validate the individual’s qualifications, experience and veracity.  Current practising certificates were sighted.  Six staff files were reviewed (two registered nurses, two caregivers, one home assistant, and one cook) and there was evidence that reference checks and police vetting were completed before employment.  Annual staff appraisals were evident in all staff files reviewed for those who have been with the service over twelve months.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comprehensive orientation programme in place that provides new staff with relevant information for safe work practice.  Completed orientation was evidenced and staff described the orientation programme.  The service uses the “Best Friends” approach to caring for residents and staff complete an in-service education programme on this approach to care.</w:t>
            </w:r>
          </w:p>
          <w:p w:rsidR="00EB7645" w:rsidRPr="00BE00C7" w:rsidP="00BE00C7">
            <w:pPr>
              <w:pStyle w:val="OutcomeDescription"/>
              <w:spacing w:before="120" w:after="120"/>
              <w:rPr>
                <w:rFonts w:cs="Arial"/>
                <w:b w:val="0"/>
                <w:lang w:eastAsia="en-NZ"/>
              </w:rPr>
            </w:pPr>
            <w:r w:rsidRPr="00BE00C7">
              <w:rPr>
                <w:rFonts w:cs="Arial"/>
                <w:b w:val="0"/>
                <w:lang w:eastAsia="en-NZ"/>
              </w:rPr>
              <w:t>More than eight hours of staff development or in-service education has been provided annually.  The in-service education programme for 2018 has been completed and the plan for 2019 is being implemented.  Best Friends training and walking in another’s shoes workshops are attended by staff.  There is an organisational education coordinator that assists with supporting staff through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and registered nurses are able to attend external training, including sessions provided by the local DHB.  The clinical managers within the organisation attend biannual DCNZ National Forums in advanced nursing practice, competency driven (total of 40 hours annually).  All RNs have completed first aid training.  </w:t>
            </w:r>
          </w:p>
          <w:p w:rsidR="00EB7645" w:rsidRPr="00BE00C7" w:rsidP="00BE00C7">
            <w:pPr>
              <w:pStyle w:val="OutcomeDescription"/>
              <w:spacing w:before="120" w:after="120"/>
              <w:rPr>
                <w:rFonts w:cs="Arial"/>
                <w:b w:val="0"/>
                <w:lang w:eastAsia="en-NZ"/>
              </w:rPr>
            </w:pPr>
            <w:r w:rsidRPr="00BE00C7">
              <w:rPr>
                <w:rFonts w:cs="Arial"/>
                <w:b w:val="0"/>
                <w:lang w:eastAsia="en-NZ"/>
              </w:rPr>
              <w:t>There are 33 caregivers who work in the hospital, dementia and psychogeriatric units.  Thirty caregivers have completed the required dementia unit education modules.  One caregiver is in the process of completing national dementia unit modules.  There are two caregivers (employed in October 2018) that are yet to commence.</w:t>
            </w:r>
          </w:p>
          <w:p w:rsidR="00EB7645" w:rsidRPr="00BE00C7" w:rsidP="00BE00C7">
            <w:pPr>
              <w:pStyle w:val="OutcomeDescription"/>
              <w:spacing w:before="120" w:after="120"/>
              <w:rPr>
                <w:rFonts w:cs="Arial"/>
                <w:b w:val="0"/>
                <w:lang w:eastAsia="en-NZ"/>
              </w:rPr>
            </w:pPr>
            <w:r w:rsidRPr="00BE00C7">
              <w:rPr>
                <w:rFonts w:cs="Arial"/>
                <w:b w:val="0"/>
                <w:lang w:eastAsia="en-NZ"/>
              </w:rPr>
              <w:t>Seven of nine registered nurses have achieved and maintained interRAI competency.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Rosters implement the staffing rationale.  Avonlea roster identifies there is sufficient staffing cover for the safe provision of care for dementia, psychogeriatric and hospital residents.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11-bed psychogeriatric unit, a 10-bed hospital unit, an 8-bed dementia unit, a 16-bed dementia unit and two 10-bed dementia units.</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(RN) works full-time Monday to Friday and is available on-call 24/7.  Additionally, there is a registered nurse on duty on morning, afternoon and night shift seven days per week in both the hospital unit and psychogeriatric unit.  The RN in the hospital and PG unit oversees the dementia units.</w:t>
            </w:r>
          </w:p>
          <w:p w:rsidR="00EB7645" w:rsidRPr="00BE00C7" w:rsidP="00BE00C7">
            <w:pPr>
              <w:pStyle w:val="OutcomeDescription"/>
              <w:spacing w:before="120" w:after="120"/>
              <w:rPr>
                <w:rFonts w:cs="Arial"/>
                <w:b w:val="0"/>
                <w:lang w:eastAsia="en-NZ"/>
              </w:rPr>
            </w:pPr>
            <w:r w:rsidRPr="00BE00C7">
              <w:rPr>
                <w:rFonts w:cs="Arial"/>
                <w:b w:val="0"/>
                <w:lang w:eastAsia="en-NZ"/>
              </w:rPr>
              <w:t>There are two separate roles.  Caregivers undertake hands-on caregiving and resident care.  Home assistants undertake housekeeping duties.</w:t>
            </w:r>
          </w:p>
          <w:p w:rsidR="00EB7645" w:rsidRPr="00BE00C7" w:rsidP="00BE00C7">
            <w:pPr>
              <w:pStyle w:val="OutcomeDescription"/>
              <w:spacing w:before="120" w:after="120"/>
              <w:rPr>
                <w:rFonts w:cs="Arial"/>
                <w:b w:val="0"/>
                <w:lang w:eastAsia="en-NZ"/>
              </w:rPr>
            </w:pPr>
            <w:r w:rsidRPr="00BE00C7">
              <w:rPr>
                <w:rFonts w:cs="Arial"/>
                <w:b w:val="0"/>
                <w:lang w:eastAsia="en-NZ"/>
              </w:rPr>
              <w:t>Aroha household - PG (10 residents) – There is one RN across all three shifts.  Morning shift: One caregiver 7am – 3pm, one HA 8am – 12.30pm.  Afternoon shift: one caregiver 3pm – 11pm.  one HA 4.30pm – 8pm.  A DT – 10am – 1pm.</w:t>
            </w:r>
          </w:p>
          <w:p w:rsidR="00EB7645" w:rsidRPr="00BE00C7" w:rsidP="00BE00C7">
            <w:pPr>
              <w:pStyle w:val="OutcomeDescription"/>
              <w:spacing w:before="120" w:after="120"/>
              <w:rPr>
                <w:rFonts w:cs="Arial"/>
                <w:b w:val="0"/>
                <w:lang w:eastAsia="en-NZ"/>
              </w:rPr>
            </w:pPr>
            <w:r w:rsidRPr="00BE00C7">
              <w:rPr>
                <w:rFonts w:cs="Arial"/>
                <w:b w:val="0"/>
                <w:lang w:eastAsia="en-NZ"/>
              </w:rPr>
              <w:t>Ofa household- dementia (7 residents) – caregivers on morning 7- 3pm, and 7 – 12.30pm, caregivers on afternoon shift 3pm – 12am, 4.30pm – 8pm.  DT 1.30pm – 4.30pm.  Night shift: One caregiver on night from 12am – 6.45am and then assists in Aroha from 6.45am to 8am.</w:t>
            </w:r>
          </w:p>
          <w:p w:rsidR="00EB7645" w:rsidRPr="00BE00C7" w:rsidP="00BE00C7">
            <w:pPr>
              <w:pStyle w:val="OutcomeDescription"/>
              <w:spacing w:before="120" w:after="120"/>
              <w:rPr>
                <w:rFonts w:cs="Arial"/>
                <w:b w:val="0"/>
                <w:lang w:eastAsia="en-NZ"/>
              </w:rPr>
            </w:pPr>
            <w:r w:rsidRPr="00BE00C7">
              <w:rPr>
                <w:rFonts w:cs="Arial"/>
                <w:b w:val="0"/>
                <w:lang w:eastAsia="en-NZ"/>
              </w:rPr>
              <w:t>Rudo household - dementia (9 residents) – Morning shift: one caregiver 7am – 3pm, one HA 8am – 1.30pm.  Afternoon shift: one caregiver 3pm – 11pm, one HA 4.30pm – 8pm.  A DT – 10am – 1pm.  Night shift: One HA 12am – 8am.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Mahal household -hospital (9 residents) – There is one RN across all three shifts.  Morning shift: One caregiver 7am – 3pm, one HA 8am – 12.30pm.  Afternoon shift: one caregiver 3pm – 11pm, one HA 4.30pm – 8pm.  A DT – 10am – 1pm.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Awhi Whanau household -dementia (7 residents) - Morning shift: one caregiver 7am – 3pm, one HA 8am – 3pm.  Afternoon shift: One caregiver 3pm – 11pm, one HA 4.30pm – 8pm.  Night shift: One HA 12am – 8am. A DT – 1.30pm – 4.30pm.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Hoa Pumau household- dementia (11 residents) - Morning shift: two caregivers 7am – 3pm.  Afternoon shift: one caregiver 3pm – 12am, one caregiver 4.30pm – 8pm.  Night shift: One caregiver 12am – 6.45am and 6.45am – 8am in Mahal A DT – 1.30pm – 4.30pm.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visible and available to meet resident’s needs, as reported by family members interviewed.  Staff interviewed stated that overall the staffing levels are satisfactory.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electronic medication charts were reviewed (eight dementia, two psychogeriatric, and two hospital).  The medication management system includes policy and procedures that follows recognised standards and guidelines for safe medicine management practice.  Two registered nurses check medications on delivery against the electronic medication charts.  Registered nurses and medication competent caregivers administer medications and they have completed annual medication competencies and education.  </w:t>
            </w:r>
          </w:p>
          <w:p w:rsidR="00EB7645" w:rsidRPr="00BE00C7" w:rsidP="00BE00C7">
            <w:pPr>
              <w:pStyle w:val="OutcomeDescription"/>
              <w:spacing w:before="120" w:after="120"/>
              <w:rPr>
                <w:rFonts w:cs="Arial"/>
                <w:b w:val="0"/>
                <w:lang w:eastAsia="en-NZ"/>
              </w:rPr>
            </w:pPr>
            <w:r w:rsidRPr="00BE00C7">
              <w:rPr>
                <w:rFonts w:cs="Arial"/>
                <w:b w:val="0"/>
                <w:lang w:eastAsia="en-NZ"/>
              </w:rPr>
              <w:t>All electronic medicine charts had photo identification, allergies documented and evidence of a three-monthly GP review.  All medications charts were clear and had accurate information on drug administration to include reason for use.  There were no residents on a sliding scale of insulin on the day of audit.  There were no gaps in the administration records.  The previous audit finding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 required medications were appropriately prescribed and documented indications for use.  Controlled drugs are stored in the hospital unit, one RN and one medicine competent staff check and complete the administration records for controlled drugs, there are weekly checks performed.  There were no expired drugs, drugs no longer in use are returned to the pharmacy on a weekly basis.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self-medicating residents.  The standing orders meet legislative requirements.  All medications are stored safely.  The medication fridge temperature is monitored and recorded on a daily basis.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food control plan is in place expiring 16 April 2019.  All meals at Avonlea are prepared and cooked on-site in a fully equipped kitchen.  There is a four-weekly summer and winter DCNZ menu which has been reviewed and approved by a dietitian.  There is a kitchenette in the dining areas in each unit where food is served up to residents.  Containers of food are transported in hot boxes to the kitchenettes, where caregivers plate and serve the meals.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food services manual is available to ensure that all stages of food delivery to residents comply with standards, legislation and guidelines.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Dietary needs are known with individual likes and dislikes accommodated.  Pureed, gluten free and diabetic desserts are provided.  Cultural and religious food preferences are met.  The cook receives a nutritional assessment for each new resident and is notified of any changes, special diets or weight loss.  Residents assessed by the dietitian who require supplements received these and this is recorded in the resident’s file.  The dietitian visits regularly for review of resident nutritional status and needs and notes are included in resident files.  Resident weights are recorded at least monthly.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and surveys allow for the opportunity for resident feedback on the meals and food services generally.  Family members interviewed were satisfied with the meals and confirm that alternative food choices are available.  Snacks are available in each unit 24/7.</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Fridge, freezer and chiller temperatures are taken and recorded daily.  End cooked food temperatures are recorded daily.  Food is stored correctly.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working in the kitchen have completed training in food safety and hygiene and chemical safety.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are developed by the RNs in consultation with the resident (as appropriate), family and care staff.  The outcomes of interRAI assessments form the basis of the long-term care plan.  Short-term care plans are used for short-term needs.  The care plans sampled did not always document interventions to meet the resident’s assessed care needs.  </w:t>
            </w:r>
          </w:p>
          <w:p w:rsidR="00EB7645" w:rsidRPr="00BE00C7" w:rsidP="00BE00C7">
            <w:pPr>
              <w:pStyle w:val="OutcomeDescription"/>
              <w:spacing w:before="120" w:after="120"/>
              <w:rPr>
                <w:rFonts w:cs="Arial"/>
                <w:b w:val="0"/>
                <w:lang w:eastAsia="en-NZ"/>
              </w:rPr>
            </w:pPr>
            <w:r w:rsidRPr="00BE00C7">
              <w:rPr>
                <w:rFonts w:cs="Arial"/>
                <w:b w:val="0"/>
                <w:lang w:eastAsia="en-NZ"/>
              </w:rPr>
              <w:t>The long-term care plans reviewed demonstrated allied health input into the resident’s care and well-being.  Family members interviewed confirmed they are involved in the care planning process.  Staff interviewed were knowledgeable of the needs of the residents they care for, and can describe triggers, behaviour and diversion techniques used.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were integrated.  Physiotherapist assessment, management plans and dietitian assessment and plans where reflected in the LTCPs.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(RNs) and caregivers, follow the care plan and report progress against the care plan each shift at handover (witnessed).  If external nursing or allied health advice is required, the RNs will initiate a referral (e.g., to the Nurse Maude service or the mental health nurses).  If external medical advice is required, this will be actioned by the GPs.  There is specialist input into the residents’ care in the psychogeriatric unit as needed.  There is evidence in the medical notes of GP communication with the psych- geriatrician in regard to medication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access to sufficient medical supplies (e.g., dressings).  There were three wounds currently being managed by the service.  Each wound has an assessment, plan and evaluations recorded, which show progression or deterioration towards wound healing.  There were no pressure injuries on the day of the audit.  Registered nurses describe access if required to the Nurse Maude service, which covers specialist wound care and palliative cares.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Sufficient continence products are available and resident files include a continence assessment and plan as part of the plan of care.  Specialist continence advice is available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team and diversional therapist could describe strategies for the provisions of a low stimulus environment.  </w:t>
            </w:r>
          </w:p>
          <w:p w:rsidR="00EB7645" w:rsidRPr="00BE00C7" w:rsidP="00BE00C7">
            <w:pPr>
              <w:pStyle w:val="OutcomeDescription"/>
              <w:spacing w:before="120" w:after="120"/>
              <w:rPr>
                <w:rFonts w:cs="Arial"/>
                <w:b w:val="0"/>
                <w:lang w:eastAsia="en-NZ"/>
              </w:rPr>
            </w:pPr>
            <w:r w:rsidRPr="00BE00C7">
              <w:rPr>
                <w:rFonts w:cs="Arial"/>
                <w:b w:val="0"/>
                <w:lang w:eastAsia="en-NZ"/>
              </w:rPr>
              <w:t>Monitoring charts were sighted for food/fluid, behaviours, turning charts and pain.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team of one diversional therapist, two trainee diversional therapists, and two activities coordinators, with participation from the operations manager, provide an activities programme for part of each day in each of the units.  Care staff on duty are involved in individual activities with the residents as observed on the day of audit.  There are resources available to staff for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for the psychogeriatric residents is focused on individual and small group activities that are meaningful including, reminiscing and sensory activities such as massage and foot spas, household tasks, baking, gardening, garden walks, games, music and movies.  The dementia programmes provide activities of normal life for all residents including the residents under 65, such as cleaning, folding washing, stacking the dishwasher and the like if residents choose.  There are regular singalongs, lots of reminiscing, and sensory activities such as food tasting and aromatherapy.  Group activities are held within small groups of residents with similar interests such as knitting, cooking, scrapbooking or reading magazines.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programme is similar to the psychogeriatric programme with more one on one activities such as massages, reading to residents and going for walks in the garden, movie afternoons, cooking club and board games.  A men’s group has been developed, this includes having blocks of wood available for sanding and painting, ‘men’s’ magazines are available, puzzles with tractors, outdoor activities include soccer, and horseshoe throwing.  Entertainment is scheduled regularly in each unit.  There is a weekly van outing for residents.  The activities staff have current first aid certificates.  The service has a shared wheelchair van and at least two staff attend all van outings.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magic merlin dog therapy sessions continue.  This has expanded with a variety of farm animals visiting and canine friends visit the facility on a regular basis.  A memory garden in memory of all that was lost in the earthquakes, stones are painted in the winter, and placed in the garden in the springtime. </w:t>
            </w:r>
          </w:p>
          <w:p w:rsidR="00EB7645" w:rsidRPr="00BE00C7" w:rsidP="00BE00C7">
            <w:pPr>
              <w:pStyle w:val="OutcomeDescription"/>
              <w:spacing w:before="120" w:after="120"/>
              <w:rPr>
                <w:rFonts w:cs="Arial"/>
                <w:b w:val="0"/>
                <w:lang w:eastAsia="en-NZ"/>
              </w:rPr>
            </w:pPr>
            <w:r w:rsidRPr="00BE00C7">
              <w:rPr>
                <w:rFonts w:cs="Arial"/>
                <w:b w:val="0"/>
                <w:lang w:eastAsia="en-NZ"/>
              </w:rPr>
              <w:t>The focus for 2019 is to re-introduce doll therapy which has been used successfully in the past and trial music and light therapy, as the service has identified a number of resident behaviours where clinical interventions have a limited outcome.  This is still very much in its infancy period.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Activity assessments, activity plan, 24-hour MDT care plan, progress notes and attendance charts are maintained.  Team meetings and resident meetings are held on a regular basis.  A comprehensive social history is completed on or soon after admission and information gathered from the relative (and resident, as able) is included in the activity care plan.  A 24-hour MDT care plan is reviewed at least six-monthly.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were observed at various times throughout the day diverting residents from behaviours.  The programme observed was appropriate for older people with mental health conditions and dementia.  Individual activities were observed to be occurring in the lounges during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sampled demonstrated that long-term care plans have been evaluated six-monthly (or earlier if there was a change in health status).  There was at least a three-monthly review by the GP.  Overall changes in health status were documented and followed up.  Reassessments have been completed using interRAI for all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are completed for acute changes in care and added to the long-term care plan if the problem is ongoing.  Where progress is different from expected, the service has updated changes in the long-term care plan in all but one file reviewed (link 1.3.5.2).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Avonlea is divided into six units, known as homes.  There are four dementia units, one psychogeriatric unit and one hospital unit.  The facility displays a current building warrant of fitness, which expires on 1 June 2019.  A staff member provides general maintenance.  There is a scheduled maintenance plan in place.  Contractors are contacted when required.  The Director oversee’s the maintenance programme.  Hot water temperature checks are conducted weekly.  Hot water is provided at up to 45 degrees Celsius maximum in resident areas.  Medical equipment has been checked and calibrated and testing and tagging of electrical equipment has been conducted.  Residents were observed safely mobilising throughout the facility.  There is easy access to the outdoors from each home.  The courtyards and gardens are well maintained with safe paving, outdoor shaded seating, lawn and gardens.  The residents can access secure outdoor areas.  Interviews with the registered nurses and the caregivers confirmed that there was adequate equipment to carry out the cares according to the residents’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infection control coordinator (RN) uses the information obtained through surveillance to determine infection control activities,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Infections are collated in a monthly register and a monthly report is completed by the infection control coordinator.  There are standard definitions of infections in place appropriate to the complexity of service provided.  Infection control data is collated monthly and reported at the monthly quality, infection control and staff meetings.  A six-monthly IC review analysis report is completed.  Benchmarking occurs against other Dementia Care New Zealand facilities using the NZ indicators for safe aged care.   Internal infection control audits also assist the service in evaluating infection control needs.  There is close liaison with the GPs that advise and provide feedback/information to the service.  An outbreak in March 2018 was well managed to prevent spread across all households with an outbreak debrief meeting held April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policy includes the definitions of restraint and enablers, which is congruent with the definitions in NZS 8134.0.  The policy includes comprehensive restraint procedures.  Interviews with caregivers and nursing staff confirmed their understanding of restraints and enablers.  There were no residents using enablers on the day of audit.  There were seven residents using restraint (five t-belt and two ‘arm restraints’).  When a resident requires two staff members to gently hold their arms to calm the resident and allow another staff member to provide essential cares, this is documented as ‘arm restraint’ and is only used after a full restraint assessment, discussion with the family and involvement of the GP Staff are trained in restraint and managing behaviours.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71"/>
        <w:gridCol w:w="1280"/>
        <w:gridCol w:w="5580"/>
        <w:gridCol w:w="2619"/>
        <w:gridCol w:w="138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Two files reviewed of residents in the psychogeriatric (PG) unit (one for behaviour only) and three long-term residents across the dementia units all had identified current abilities, level of independence, identified needs and specific behavioural management strategies documented within their care plans.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Behaviours that challenge have been identified through the assessment process.  Twenty-four-hour multidisciplinary care plans describe the resident’s usual signs of wellness, changes, interventions and de-escalation techniques (including activities), for the management of challenging behaviours.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One hospital level whose condition recently deteriorated, the care plan interventions had not been updated to reflect the current needs.     </w:t>
            </w:r>
          </w:p>
          <w:p w:rsidR="00EB7645" w:rsidRPr="00BE00C7" w:rsidP="00BE00C7">
            <w:pPr>
              <w:pStyle w:val="OutcomeDescription"/>
              <w:spacing w:before="120" w:after="120"/>
              <w:rPr>
                <w:rFonts w:cs="Arial"/>
                <w:b w:val="0"/>
                <w:lang w:eastAsia="en-NZ"/>
              </w:rPr>
            </w:pPr>
            <w:r w:rsidRPr="00BE00C7">
              <w:rPr>
                <w:rFonts w:cs="Arial"/>
                <w:b w:val="0"/>
                <w:lang w:eastAsia="en-NZ"/>
              </w:rPr>
              <w:t>(ii) Unsuitable interventions were included in the printed care plans for a dementia and psychogeriatric resident.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all care plans are updated to reflect current needs of residents.</w:t>
            </w:r>
          </w:p>
          <w:p w:rsidR="00EB7645" w:rsidRPr="00BE00C7" w:rsidP="00BE00C7">
            <w:pPr>
              <w:pStyle w:val="OutcomeDescription"/>
              <w:spacing w:before="120" w:after="120"/>
              <w:rPr>
                <w:rFonts w:cs="Arial"/>
                <w:b w:val="0"/>
                <w:lang w:eastAsia="en-NZ"/>
              </w:rPr>
            </w:pPr>
            <w:r w:rsidRPr="00BE00C7">
              <w:rPr>
                <w:rFonts w:cs="Arial"/>
                <w:b w:val="0"/>
                <w:lang w:eastAsia="en-NZ"/>
              </w:rPr>
              <w:t>(ii) Ensure all interventions are relevant to individual residents.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Avonlea Dementia Care Limited - Avonlea Dementia Care</w:t>
    </w:r>
    <w:bookmarkEnd w:id="58"/>
    <w:r>
      <w:rPr>
        <w:rFonts w:cs="Arial"/>
        <w:sz w:val="16"/>
        <w:szCs w:val="20"/>
      </w:rPr>
      <w:tab/>
      <w:t xml:space="preserve">Date of Audit: </w:t>
    </w:r>
    <w:bookmarkStart w:id="59" w:name="AuditStartDate1"/>
    <w:r>
      <w:rPr>
        <w:rFonts w:cs="Arial"/>
        <w:sz w:val="16"/>
        <w:szCs w:val="20"/>
      </w:rPr>
      <w:t>13 February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