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Glenbrae Resthome and Hospital Limited - Glenbrae Resthome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Glenbrae Resthome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Glenbrae Resthome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February 2019</w:t>
      </w:r>
      <w:bookmarkEnd w:id="7"/>
      <w:r w:rsidRPr="009418D4">
        <w:rPr>
          <w:rFonts w:cs="Arial"/>
        </w:rPr>
        <w:tab/>
        <w:t xml:space="preserve">End date: </w:t>
      </w:r>
      <w:bookmarkStart w:id="8" w:name="AuditEndDate"/>
      <w:r w:rsidR="00A4268A">
        <w:rPr>
          <w:rFonts w:cs="Arial"/>
        </w:rPr>
        <w:t>28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Arvida Glenbrae is part of the Arvida aged care residential group.  The service provides rest home and hospital (medical and geriatric) level of care for up to 41 residents in the care centre and up to 16 residents in the serviced apartments.  On the day of the audit there were 42 residents.  The service is managed by an experienced village manager/registered nurse who has been in the role seven years.  She is supported by a clinical manager and clinical nurse leader, national quality manager and stable workforce. </w:t>
      </w:r>
    </w:p>
    <w:p w:rsidRPr="00A4268A">
      <w:pPr>
        <w:spacing w:before="240" w:line="276" w:lineRule="auto"/>
        <w:rPr>
          <w:rFonts w:eastAsia="Calibri"/>
        </w:rPr>
      </w:pPr>
      <w:r w:rsidRPr="00A4268A">
        <w:rPr>
          <w:rFonts w:eastAsia="Calibri"/>
        </w:rPr>
        <w:t xml:space="preserve">The residents, relatives and allied health professionals interviewed spoke positively about the care and services provided at Glenbrae.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physiotherapist and general practitioner. </w:t>
      </w:r>
    </w:p>
    <w:p w:rsidRPr="00A4268A">
      <w:pPr>
        <w:spacing w:before="240" w:line="276" w:lineRule="auto"/>
        <w:rPr>
          <w:rFonts w:eastAsia="Calibri"/>
        </w:rPr>
      </w:pPr>
      <w:r w:rsidRPr="00A4268A">
        <w:rPr>
          <w:rFonts w:eastAsia="Calibri"/>
        </w:rPr>
        <w:t xml:space="preserve">The service has been awarded continuous improvement ratings around recognition of Māori culture, good practice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timeframes established by HDC.</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clinical manager and clinical nurse leader oversee and manage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quality and risk management programme are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Qualified nurses and senior caregivers responsible for administration of medicines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is a mix of bedrooms with own ensuites, shared ensuites and communal toilets/showers.  Rooms are personalised.  Documented policies and procedures for the cleaning and laundry services are implemented with appropriate monitoring systems in place to evaluate the effectiveness of these services.  Staff have planned and implemented strategies for emergency management.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no residents requiring the use of restraint and two residents using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The infection control coordinators collate results of surveillance which are acted upon, evaluated and reported to relevant personnel in a timely manner.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3"/>
        <w:gridCol w:w="1280"/>
        <w:gridCol w:w="98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seventeen staff (four healthcare assistants (HCAs), three registered nurses (RN) including one clinical nurse leader (CNL), three activities coordinators, one physiotherapy assistant, one administrator, one cook, one cleaner, one gardener, one laundry, one maintenance) confirmed their familiarity with the Code and its application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eight residents (seven rest home and one hospital) and eight relatives (four rest home and four hospital) confirmed the services being provided are in line with the Code.  The Code is discussed at resident, staff and quality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for photographs, release of medical information, and medical cares were signed as part of the admission agreement (under permissions granted) for long-term residents under the ARCC (including the hospital resident under long-term chronic health condition contract).  Specific consent had been signed by resident/relatives for procedures such as the influenza vaccine.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Discussion with family members (four hospital and four rest home)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This was evidenced on the complaints register that indicated family were offered access to an advocate.  The Health and Disability advocate for the local area was the speaker for an in-service on the code of rights and the complaints process (13 July 2017).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r w:rsidRPr="00BE00C7">
              <w:rPr>
                <w:rFonts w:cs="Arial"/>
                <w:b w:val="0"/>
                <w:lang w:eastAsia="en-NZ"/>
              </w:rPr>
              <w:t>A separate folder was sighted that lists community services and their contact details (eg, Te Whare Wananga o Awanuiarangi, Lynmore Primary School, Alzheimers New Zealand, Tauranga animal petting zoo, church and spiritual services, Tangi Tuaine’s Island Girls, Kapa haka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and the complaints process is explained in the service information provided to all residents and families.  A record of all complaints, both verbal and written is maintained by the facility manager using a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were only four complaints made in 2018 and no complaints have been logged in the register for 2019 (year-to-date).  Two complaints were selected for review.  Both complaints were managed in accordance with Right 10 of the Code.  A review of complaint documentation evidenced resolution of both complaints to the satisfaction of the complainants.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advised that they are aware of the complaint procedure.  Family members stated that the service is very responsive to concerns and manages them quickly and efficiently.  Discussions around concerns, complaints and compliments were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There are only single occupancy resident rooms in this facility.</w:t>
            </w:r>
          </w:p>
          <w:p w:rsidR="00EB7645" w:rsidRPr="00BE00C7" w:rsidP="00BE00C7">
            <w:pPr>
              <w:pStyle w:val="OutcomeDescription"/>
              <w:spacing w:before="120" w:after="120"/>
              <w:rPr>
                <w:rFonts w:cs="Arial"/>
                <w:b w:val="0"/>
                <w:lang w:eastAsia="en-NZ"/>
              </w:rPr>
            </w:pPr>
            <w:r w:rsidRPr="00BE00C7">
              <w:rPr>
                <w:rFonts w:cs="Arial"/>
                <w:b w:val="0"/>
                <w:lang w:eastAsia="en-NZ"/>
              </w:rPr>
              <w:t>All but six residents’ rooms have their own private ensuite.  These six rooms share three ensuites with each ensuite located between two rooms.  Appropriate privacy door locks are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regularly.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Four residents identified as Māori on the day of the audit and cultural needs were addressed in two Māori care plans selected for review.  The service values and encourages active participation and input of the family/whānau in the day-to-day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Cultural and spiritual practice is supported and identified needs are incorporated into the care planning process and reviewed as demonstrated in resident files sampled.  In particular, a range of examples were provided that indicated the needs of Māori residents are exemplary and have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aware of the need to respond to cultural differences with a range of examples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br/>
              <w:t xml:space="preserve">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is Chinese speaking only.  Her family assists with translation and are available 24 hours a day.  A range of examples were provided where family had been requested to assist with translation.  In addition, the family provided staff with an in-service on ‘cultural awareness and effective communication with residents who are unable to communicate in English (16 October 2018) with 19 RNs and HCAs attending.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The resident satisfaction survey reflects high levels of satisfaction with the services that are provided.  Residents interviewed spoke very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A rehabilitation programme has been implemented that reflects evidence of enhanced resident quality of life and has resulted in a rating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village manager and clinical nurse manager confirmed family are kept informed.  Relatives interviewed stated that the service is very open, and they are notified promptly of any incidents/accidents as well as invitations to the six-monthly multi-disciplinary meetings.  Residents/relatives have the opportunity to feedback on service delivery through surveys and open-door communication with management.  </w:t>
            </w:r>
          </w:p>
          <w:p w:rsidR="00EB7645" w:rsidRPr="00BE00C7" w:rsidP="00BE00C7">
            <w:pPr>
              <w:pStyle w:val="OutcomeDescription"/>
              <w:spacing w:before="120" w:after="120"/>
              <w:rPr>
                <w:rFonts w:cs="Arial"/>
                <w:b w:val="0"/>
                <w:lang w:eastAsia="en-NZ"/>
              </w:rPr>
            </w:pPr>
            <w:r w:rsidRPr="00BE00C7">
              <w:rPr>
                <w:rFonts w:cs="Arial"/>
                <w:b w:val="0"/>
                <w:lang w:eastAsia="en-NZ"/>
              </w:rPr>
              <w:t>Regular resident meetings encourage open discussion around the services provided (meeting minutes sighted).  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Glenbrae Home and Hospital is owned and operated by the Arvida group.  The service provides rest home and hospital – geriatric/medical level care for up to 41 residents in the care centre and 16 residents in the serviced apartments.  All 41 beds in the care centre are certified as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20 rest home level residents and 22 hospital level residents.  This included two (rest home level) residents in the serviced apartments, two (hospital level) residents on the long-term support chronic health condition (LTS-CHC) contract, and one (rest home level) resident under the care of mental health services.  All remaining residents were under the age-related residential care services agreement (ARCC).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mission, vision and values.  The service business plan was updated on 11 January and lists goals around the resident experience, health and safety, leadership, expense management and occupancy.  Achievements against these plans are regularly reviewed by the management team.  Regular meetings are held between the village manager and head office as well as weekly meetings between the village manager, clinical manager and clinical nurse leader.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a registered nurse and maintains an annual practicing certificate.  She has been this role at the facility for seven years.  The village manager is supported by a clinical manager (RN) and a clinical nurse leader (RN).  The village manager has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village manager, the clinical manager is in charge with support from the clinical nurse leader, the registered nursing staff and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 service has transitioned over to the Arvida Group policies which are reviewed at least every two years across the group.  The policies and procedures are implemented and provide assurance that the service is meeting accepted good practice and adhering to relevant standards - including those standards relating to the Health and Disability Services (Safety) Act 2001.  Staff (three caregivers, four registered nurses, the chef and the activities person)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Monthly staff/quality meeting minutes sighted evidenced staff discussion around accident/incident data, health and safety, infection control, audit outcomes, concerns and survey feedback.  This meeting collates all matters arising from all other smaller meetings to ensure an overall quality approach.  The service collates accident/incident and infection control data.  Monthly comparisons include trend analysis and graphs which are posted up in the staff room.  Additional meetings include monthly RN (where clinical issues are discussed) meetings, bi-monthly night staff meetings, activity and family/resident meetings.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as well as a separate health and safety meeting.  There is a current hazard register which documents review, this is an improvement on the previous audit.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The service has documented emergency plans covering all types of emergency situations and staff receive ongoing training around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village manager investigates accidents and near misses and analysis of incident trends occurs.  There is a discussion of incidents/accidents at monthly quality meetings including actions to minimise recurrence.  A registered nurse conducts clinical follow-up of residents.  Eight incident forms sampled (from a sample of resident files) demonstrated that appropriate clinical follow-up and investigation occurred following incidents.  Discussions with the facility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requires that relevant checks are completed to validate the individual’s qualifications, experience and veracity.  A copy of practising certificates is kept.  Eight staff files were reviewed (four HCAs, one diversional therapist, one physiotherapy assistant, two RNs) and evidenced that employment agreements and job descriptions were signed, and reference checks were completed.  Two volunteer files selected for review reflected evidence of signed service agreements and non-disclosure statements, and completed competencies that were included as part of their orientation to the service (eg, infection control, health and safety, fire training and vehicle usage).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and is specific to work type.  The in-service education programme is complimented by a computer-based learning programme that staff can utilise if they are unable to attend an in-service.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are able to attend external training, including sessions provided by the local DHB.  Eight of the ten registered nurses have completed interRAI training.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Glenbrae Home and Hospital’s policy includes staff rationale and skill mix.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facility manager (RN), who works full time, there is a clinical manager/RN and a clinical lead/RN who work Monday to Friday.  One staff RN is rostered on the AM, PM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is broken down into four dual purpose wings.  HCA staffing rosters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Rosewood and Glengary wings (10 hospital level residents and eight rest home level residents):  one long shift and one short shift HCA on the AM and PM shifts.</w:t>
            </w:r>
          </w:p>
          <w:p w:rsidR="00EB7645" w:rsidRPr="00BE00C7" w:rsidP="00BE00C7">
            <w:pPr>
              <w:pStyle w:val="OutcomeDescription"/>
              <w:spacing w:before="120" w:after="120"/>
              <w:rPr>
                <w:rFonts w:cs="Arial"/>
                <w:b w:val="0"/>
                <w:lang w:eastAsia="en-NZ"/>
              </w:rPr>
            </w:pPr>
            <w:r w:rsidRPr="00BE00C7">
              <w:rPr>
                <w:rFonts w:cs="Arial"/>
                <w:b w:val="0"/>
                <w:lang w:eastAsia="en-NZ"/>
              </w:rPr>
              <w:t>Jasmine wing (eight hospital and six rest home level residents): one long shift and one short shift HCA on the AM and PM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Camilla wing (four hospital and four rest home level residents): one short shift HCA on the AM shift and assistance on the PM shift by the HCAs rostered for Rosewood, Glengary and Jasmine wings.  </w:t>
            </w:r>
          </w:p>
          <w:p w:rsidR="00EB7645" w:rsidRPr="00BE00C7" w:rsidP="00BE00C7">
            <w:pPr>
              <w:pStyle w:val="OutcomeDescription"/>
              <w:spacing w:before="120" w:after="120"/>
              <w:rPr>
                <w:rFonts w:cs="Arial"/>
                <w:b w:val="0"/>
                <w:lang w:eastAsia="en-NZ"/>
              </w:rPr>
            </w:pPr>
            <w:r w:rsidRPr="00BE00C7">
              <w:rPr>
                <w:rFonts w:cs="Arial"/>
                <w:b w:val="0"/>
                <w:lang w:eastAsia="en-NZ"/>
              </w:rPr>
              <w:t>Additional HCA staff are rostered to help where needed.  Two (flexi) HCAs are rostered in the AM shift (0700 – 1100 and 0730 – 1030 and one (flexi) HCA is rostered on the PM shift (1600 – 1900).  The resident on the mental health contract has a private carer for six hours a day.</w:t>
            </w:r>
          </w:p>
          <w:p w:rsidR="00EB7645" w:rsidRPr="00BE00C7" w:rsidP="00BE00C7">
            <w:pPr>
              <w:pStyle w:val="OutcomeDescription"/>
              <w:spacing w:before="120" w:after="120"/>
              <w:rPr>
                <w:rFonts w:cs="Arial"/>
                <w:b w:val="0"/>
                <w:lang w:eastAsia="en-NZ"/>
              </w:rPr>
            </w:pPr>
            <w:r w:rsidRPr="00BE00C7">
              <w:rPr>
                <w:rFonts w:cs="Arial"/>
                <w:b w:val="0"/>
                <w:lang w:eastAsia="en-NZ"/>
              </w:rPr>
              <w:t>Two long shift HCAs assist the one RN during the night shift.  In addition, a third HCA is scheduled from 0530 to 0730 to assist with the serviced apartment occupants.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apartments (25 residents with two rest home level) have a one long and one short shift caregiver for the AM and PM shifts.  The night shift is covered by the care centre staff using remote telecommunications (walkie talkie).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cleaning and laundry staff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on each shift is aware that extra staff can be called on for increased resident requirements.  Interviews with staff, residents and family members identified that staffing is adequate to meet the needs of residents.  No agency staff has been needed but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Sensitive resident information is not displayed in a way that can be viewed by other residents or members of the public.  Entries in records are legible, dated and signed by the relevant HCA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and hospital level of care are provided for families and residents prior to admission or on entry to the service.  All admission agreements reviewed for six long-term residents including the resident under the long-term chronic health condition (LTS-CHC) align with contractual requirements.  Exclusions from the service are included in the admission agreement.  There was a specific agreement for the one rest home resident under compulsory treatment order.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Clinical staff who administer medications (RNs, enrolled nurses and senior caregivers with level 4) have been assessed for competency on an annual basis and attend annual medication education.  Registered nurses have completed syringe driver training with hospice.  Medications are stored safely.  All medication (robotic rolls) are checked on delivery against the medication chart.  The medication fridge is checked daily and are maintained within the acceptable temperature range.  All eye drops sighted in the medication trolleys were dated on opening.  There is a bulk supply order for hospital level residents and the expiry dates are checked regularly.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(paper-based) were reviewed and met prescribing requirements.  Medication charts had photo identification and allergy status notified.  The GP had reviewed the medication charts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by two cooks who cover the seven-day week.  The cooks are supported by morning and afternoon kitchenhands.  There are six weekly rotating seasonal menus that have been reviewed by the dietitian.  The cook receives resident dietary profiles and notified of any dietary changes including weight loss.  The menu provides pureed/soft meals.  Dislikes and food allergies are known and accommodated.  The kitchen is adjacent to the main dining room and meals are plated in the kitchen and served to residents in the dining room.  Meals are plated, covered and delivered on a trolley to the second dining room and resident rooms.  Meals are delivered in the bain marie to the serviced apartments.  The main meal is at midday with a lighter option in the evening and fruit platters.  The service introduced buffet breakfasts a year ago which have proven to have a positive impact on resident’s well-being and social interaction.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fridge and end cooked, re-heating (as required), cooling and serving temperatures are taken and recorded daily.  The dishwasher rinse and wash temperatures are taken and recorded.  All perishable foods and dry goods were date labelled.  A cleaning schedule for cooks and kitchenhands is maintained.  Staff were observed to be wearing appropriate personal protective clothing.  Chemicals were stored safely.  The current food control plan has been verified 12 February 2019.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Risk assessments are completed six-monthly or earlier due to health changes.  InterRAI assessments and long-term care plans were completed within the required timeframes for long-term residents including the resident under LTS-CHC and the resident under compulsory treatment order.  The outcomes of assessments are reflected in the needs and supports documented in the care plans.  Other available information such as discharge summaries, medical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resident electronic system for all resident files reviewed were resident focused and individualised.  Support needs as assessed were included in the long-term care plans.  The e-Case programme identifies interventions that cover a comprehensive set of goals including managing medical needs/risks.  Care plans include the involvement of allied health and community workers to assist the residents in meeting their specific goals around wellbeing.  Key symbols on the resident’s electronic home page identity current and acute needs such as (but not limited to); current infection, wound or recent fall.  Short-term needs are updated and added to the relevant eCase care plan.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physiotherapy aide, podiatrist,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Caregivers and RNs sign a care activity worklog with scheduled tasks and monitoring charts including repositioning, bowel chart, behaviour chart, food and fluid chart, weight, neurological observations and toileting regime.  Monitoring charts are well utilised.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maps, photos and wound measurements were reviewed on e-Case for three residents with wounds (skin tear, ulcer and skin condition).  There were no pressure injuries on the day of audit.  When wounds require a change of dressing this is scheduled on the RN daily schedule.  The wound champion (enrolled nurse) reviews wounds (overseen by the RN) and has access to the wound nurse specialists at the DHB.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wound care supplies and pressure injury prevention resources.  There is access to a continence specialist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team of activity coordinators to coordinate and implement the Monday to Friday activity programme in the care centre and serviced apartments.  There is one activity coordinator on each day and another activity coordinator that drives the van for outings, shopping and one-on-one activities.  Some of the team have dual roles including caregiver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that meets the cognitive and physical abilities and preferences of the residents.  The rest home and hospital programme is integrated, and the care centre, serviced apartment and village residents have events and entertainment that is open to all residents to attend.  Activities offered align with the Wellness model of eating well, thinking well, resting well, engaging well and moving well.  These include (but are not limited to); exercise groups taken by the physiotherapy aid, newspaper reading, board games, quizzes, baking, happy hours, gardening, garden walks and entertainment from the Glenbrae chorus choir.  One-on-one activities such as individual walks, chats and hand massage occur for residents who are unable to participate in activities or choose not to be involved in group activities.  Residents receive a copy of the programme which is also displayed in the lounge areas.  The programme is flexible with some spontaneous activities and also allows for resident choice of activities.  There are volunteers involved in assisting with activities and one volunteer takes residents out weekly for Trishaw rides into the community including the gardens and parks, stopping for a picnic or ice-cream along the 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SPCA pet visits, pre-school children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person under LTS-CHC has an individual activity plan that identifies their specific recreational preferences and community involvement.  The resident under CTO has a one-on-one privately funded carer who spends time with the resident doing recreational activities, shopping and café visits as the resident desires.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is completed soon after admission.  Individual leisure plans were seen in resident electronic files.  The activity coordinators are involved in the six-monthly review with the RN.  The service receives feedback and suggestions for the programme through resident integrated meetings (rest home and hospital) and surveys.    The residents and relatives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for the long-term resident files reviewed.  Family are invited to attend the multidisciplinary review meeting and case conference notes are kept.  Written evaluations reviewed, identified if the resident goals had been met or unmet.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 and enrolled nurse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in the laundry.  Safety datasheets and product sheets are available.  Sharps containers are available and meet the hazardous substances regulations for containers.  Gloves and aprons are available for staff and they were observed to be wearing these as they carried out their duties on the day of audit.  There are sluice rooms with appropriate personal protective clothing.  There is an external locked chemical storage shed.  Staff have completed chemical safety training by the provider of chemical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24 February 2020.  The maintenance officer is a health and safety representative and works four days a week. There is a maintenance request book for repair and maintenance requests which is checked daily and signed off when repairs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maintenance schedule includes electrical testing and tagging, resident equipment checks, call bell checks and calibrations such as wheelchairs, hoists, weigh scales and electric beds.  Monthly hot water tests are completed for resident areas and are below 45 degrees Celsius.  Essential contractors/tradespeople are available 24 hours as required.  There is a gardening team employed to maintain the gardens and grounds.  Environmental improvements include replacement of carpet, replacement of resident chairs and re-modelled gardens.  The service continues to develop households within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serviced apartments have full ensuites.  All rooms have hand basins.  There is a mix of ensuite resident rooms, shared ensuites and communal bathrooms/showers within the facility.  There are six standard rooms with a communal shower/toilet closely located to the room.  Fixtures, fittings and flooring are appropriate.  Toilet/shower facilities are easy to clean.  There is sufficient space in toilet and shower areas to accommodate shower chairs if appropriate.  There are signs and privacy locks on all communal and shared shower/toilet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One main dining room is adjacent to the kitchen for more independent residents.  The second dining room is where more dependent residents have meals as they require more assistance and feeding.  One of the developed households has its own dining/lounge area which is also used as a smaller lounge/family room with tea/coffee making facilities.  There are seating alcoves throughout the facility.  The communal lounge doors open out onto the courtyard and gardens.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is done on-site by dedicated laundry and housekeeping staff seven days a week.  The laundry is divided into a “dirty” and “clean” area.  There is a separate clean laundry folding and ironing room across the corridor from the laundry.  Personal protective equipment is available.  Cleaning and laundry services are monitored through the internal auditing system and the chemical provider who also monitors the effectiveness of chemicals and the laundry/cleaning processes.  The cleaner’s trolley was attended at all times and is locked away in the cleaner’s room when not in use.  All chemicals on the cleaner’s trolley were labelled.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staff who go on outings also hold a current CPR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  For those residents who are able, a pendant is available for their use to use as a call system.  Sensor mats are also used, and one resident uses a pendant alarm.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communal areas and resident rooms have wall heaters.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leader/RN and clinical manager share the responsibility of overseeing infection control management for the service.  The infection control coordinators provide a report to the bi-monthly quality meeting and to the general clinical manager at the support office.  The infection control programme is reviewed annually in consultation with the infection control coordinators.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are appropriately placed throughout the facility.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 (CNL)/infection control coordinator has a diploma in infection prevention and control (2012) and has completed the RN Altrura on-line infection control module.  The clinical manager attends the Arvida twice yearly forums that includes education on infection control.  Quality meeting minutes which includes infection control data are available to staff.  Infection control is linked into facility and clinical meetings.  There are adequate resources to implement the infection control programme for the size and complexity of the organisation.  Advice and support is readily available from expertise within the organisation, infection control nurse specialist at the DHB,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for the size and complexity of the service.  The infection control manual outlines a comprehensive range of policies, standards and guidelines and includes responsibilities of the infection control team and training and education of staff.  The policies have been reviewed by the Arvida Group at support office and available on the intranet for all staff to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on orientation and annually that includes infection control induction, hand hygiene audits and infection control education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daily cares and residents are informed on the annual influenza vaccines.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(including organisms) is entered onto a monthly infection summary.  This data is monitored and analysed for trends monthly and annually.  Infection control surveillance is discussed at facility meetings and meeting minutes are displayed for staff.  Action plans are required for any infection rates of concern.  Internal infection control audits are completed with corrective actions for areas of improvement.  The service receives benchmarking feedback from the support office.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implemented systems to ensure the use of restraint is actively minimised.  A registered nurse is the designated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no residents with restraint and two (hospital level) residents who had voluntarily requested an enabler (mobility scooter lap belt, bedrails).  Both enabler files were reviewed.  All necessary documentation has been completed in relation to the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evidenced guidance has been given on restraint minimisation and safe practice (RMSP), enabler usage and prevention and/or de-escalation techniques.  Staff education on RMSP/enablers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9"/>
        <w:gridCol w:w="1280"/>
        <w:gridCol w:w="3809"/>
        <w:gridCol w:w="72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plans to ensure Māori receive services commensurate with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and staff at Glenbrae have demonstrated their commitment to ensuring that the individual interests, customs, beliefs, and cultural and ethnic backgrounds of Māori are valued and fostered within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examples were provided by management, care staff and residents that reflected an organisation that exceeds the standard in demonstrating how Māori residents receive services that are commensurate with their needs.  Examples provided included the following: </w:t>
            </w:r>
          </w:p>
          <w:p w:rsidR="00EB7645" w:rsidRPr="00BE00C7" w:rsidP="00BE00C7">
            <w:pPr>
              <w:pStyle w:val="OutcomeDescription"/>
              <w:spacing w:before="120" w:after="120"/>
              <w:rPr>
                <w:rFonts w:cs="Arial"/>
                <w:b w:val="0"/>
                <w:lang w:eastAsia="en-NZ"/>
              </w:rPr>
            </w:pPr>
            <w:r w:rsidRPr="00BE00C7">
              <w:rPr>
                <w:rFonts w:cs="Arial"/>
                <w:b w:val="0"/>
                <w:lang w:eastAsia="en-NZ"/>
              </w:rPr>
              <w:t>i)  A powhiri at the beginning of the audit was led by a resident who is the designated kaumātua of the facility.  He is also a kaumātua for other aged care facilities and has completed 45 blessings since September 2016.  He also supports palliative care residents, special events and formally welcoming guests to Glenbrae.  He makes himself available for one-on-one care if requested by whānau of other residents.  The powhiri prior to this audit included many staff from many different cultures.  Staff who were not scheduled to work chose to come to the powhiri and many dressed in their native dress.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Interviews with two HCAs who identify as Māori identified that the (pakeha) managers are culturally sensitive to the needs of Māori.  They were described by the HCAs as ‘doing it the Māori way’.  Often if a Māori resident is dying, family stay in the resident’s room 24 hours a day.  Mats are placed on the floor for sleeping.  A separate whānau room is also available.  When a resident passes, a waiata is performed by staff as the resident leaves the facility.  Karakia’s (blessings) are performed in the dining room and although only a handful of residents say the karakia, many residents participate by adding closure to the prayer (saying amen).  </w:t>
            </w:r>
          </w:p>
          <w:p w:rsidR="00EB7645" w:rsidRPr="00BE00C7" w:rsidP="00BE00C7">
            <w:pPr>
              <w:pStyle w:val="OutcomeDescription"/>
              <w:spacing w:before="120" w:after="120"/>
              <w:rPr>
                <w:rFonts w:cs="Arial"/>
                <w:b w:val="0"/>
                <w:lang w:eastAsia="en-NZ"/>
              </w:rPr>
            </w:pPr>
            <w:r w:rsidRPr="00BE00C7">
              <w:rPr>
                <w:rFonts w:cs="Arial"/>
                <w:b w:val="0"/>
                <w:lang w:eastAsia="en-NZ"/>
              </w:rPr>
              <w:t>iii) Te reo Māori language is posted on walls and in toilets.  A Māori language translator is available who assisted with translation during the powhiri.</w:t>
            </w:r>
          </w:p>
          <w:p w:rsidR="00EB7645" w:rsidRPr="00BE00C7" w:rsidP="00BE00C7">
            <w:pPr>
              <w:pStyle w:val="OutcomeDescription"/>
              <w:spacing w:before="120" w:after="120"/>
              <w:rPr>
                <w:rFonts w:cs="Arial"/>
                <w:b w:val="0"/>
                <w:lang w:eastAsia="en-NZ"/>
              </w:rPr>
            </w:pPr>
            <w:r w:rsidRPr="00BE00C7">
              <w:rPr>
                <w:rFonts w:cs="Arial"/>
                <w:b w:val="0"/>
                <w:lang w:eastAsia="en-NZ"/>
              </w:rPr>
              <w:t>iv)  Mai kai (food) is offered to residents.  The activities programme features a range of Māori entertainers (Whānau singing group, Māori volunteer to lead waiatas for Glenbrae choir).</w:t>
            </w:r>
          </w:p>
          <w:p w:rsidR="00EB7645" w:rsidRPr="00BE00C7" w:rsidP="00BE00C7">
            <w:pPr>
              <w:pStyle w:val="OutcomeDescription"/>
              <w:spacing w:before="120" w:after="120"/>
              <w:rPr>
                <w:rFonts w:cs="Arial"/>
                <w:b w:val="0"/>
                <w:lang w:eastAsia="en-NZ"/>
              </w:rPr>
            </w:pPr>
            <w:r w:rsidRPr="00BE00C7">
              <w:rPr>
                <w:rFonts w:cs="Arial"/>
                <w:b w:val="0"/>
                <w:lang w:eastAsia="en-NZ"/>
              </w:rPr>
              <w:t>v)  A detailed Māori health plan was evidenced in the two Māori resident files selected for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encourages and promotes good practice through evidence-based policies, input from external specialist services and allied health professionals and education of staff.  The general practitioner (GP) confirmed that the service seeks prompt and appropriate medical intervention when required and were responsive to medical requests.  The service has a resident focus, and accesses DHB initiatives, such as rehabilitation improvements for residents.  Residents are provided with opportunities to participate in these initiatives.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pilot study facility by Queen Elizabeth Hospital in August 2017 was initiated with the goals of improving strength and balance and potentially reduce falls in the older adult.  A cohort of residents were selected to take part in strength and balance activities.  The programme proved so successful that it was continued beyond the original timeframe.  Outcome measures including using the timed up and go test before and after the programme was initiated.  Times significantly reduced for those residents who took part in the exercise classes.  In addition to the group exercise classes, four residents who had been immobile for a number of years were now able to walk with an assistive device and staff support.  A short video was produced that reflected these positive resident outcomes.  Residents reported feeling happier in their life and wellbeing.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buffet breakfasts at the end of 2017 and have achieved iron and bronze level of the eating well pillar of Avida’s living well model.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Buffet breakfasts are available every morning in the dining room and smaller family room as arranged.  The selection of foods is largely based on whole/natural fresh foods.  The buffet breakfast is set up as an activity with cooking toast and brewing coffee.  The tableware and glassware look like homeware.  Residents rise at a time to suit and join others for a relaxed buffet breakfast.  Residents interviewed during the buffet breakfast on audit day stated they enjoyed the relaxed atmosphere and being able to choose their breakfast, how much they would like and time they came down to the dining room.  Residents socialise and have more time to eat and drink and there have been benefits to the residents including reduced urinary tract infections and reduced incidence of unintentional weight loss.  Resident meeting minutes evidence comments by residents around the buffet breakfasts.  The formal living well evaluation tool shows 86% in bronze achievement in August 2018 and 100% bronze achievement in January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Glenbrae Resthome and Hospital Limited - Glenbrae Resthome and Hospital</w:t>
    </w:r>
    <w:bookmarkEnd w:id="58"/>
    <w:r>
      <w:rPr>
        <w:rFonts w:cs="Arial"/>
        <w:sz w:val="16"/>
        <w:szCs w:val="20"/>
      </w:rPr>
      <w:tab/>
      <w:t xml:space="preserve">Date of Audit: </w:t>
    </w:r>
    <w:bookmarkStart w:id="59" w:name="AuditStartDate1"/>
    <w:r>
      <w:rPr>
        <w:rFonts w:cs="Arial"/>
        <w:sz w:val="16"/>
        <w:szCs w:val="20"/>
      </w:rPr>
      <w:t>27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