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Parata Anglican Charitable Trust - Parata Anglican Charitable Trust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Parata Anglican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Parata Anglican Charitable Trust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February 2019</w:t>
      </w:r>
      <w:bookmarkEnd w:id="7"/>
      <w:r w:rsidRPr="009418D4">
        <w:rPr>
          <w:rFonts w:cs="Arial"/>
        </w:rPr>
        <w:tab/>
        <w:t xml:space="preserve">End date: </w:t>
      </w:r>
      <w:bookmarkStart w:id="8" w:name="AuditEndDate"/>
      <w:r w:rsidR="00A4268A">
        <w:rPr>
          <w:rFonts w:cs="Arial"/>
        </w:rPr>
        <w:t>1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Parata Anglican Care rest home is a charitable trust governed by a board of trustees.  The rest home provides care for up to 26 residents.  On the day of audit, there were 26 residents.</w:t>
      </w:r>
    </w:p>
    <w:p w:rsidRPr="00A4268A">
      <w:pPr>
        <w:spacing w:before="240" w:line="276" w:lineRule="auto"/>
        <w:rPr>
          <w:rFonts w:eastAsia="Calibri"/>
        </w:rPr>
      </w:pPr>
      <w:r w:rsidRPr="00A4268A">
        <w:rPr>
          <w:rFonts w:eastAsia="Calibri"/>
        </w:rPr>
        <w:t xml:space="preserve">The manager is an enrolled nurse with many years’ experience in aged care management.  She is supported by an assistant manager (RN), and a relief manager (enrolled nurse), a part time registered nurse, an administrator and long serving staff.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management, staff, residents, relative and the general practitioner.  The residents and relative commented positively on the services and care provided at Parata Anglican Care rest home.  </w:t>
      </w:r>
    </w:p>
    <w:p w:rsidRPr="00A4268A">
      <w:pPr>
        <w:spacing w:before="240" w:line="276" w:lineRule="auto"/>
        <w:rPr>
          <w:rFonts w:eastAsia="Calibri"/>
        </w:rPr>
      </w:pPr>
      <w:r w:rsidRPr="00A4268A">
        <w:rPr>
          <w:rFonts w:eastAsia="Calibri"/>
        </w:rPr>
        <w:t>The previous shortfalls around medication management and care planning have been addressed.</w:t>
      </w:r>
    </w:p>
    <w:p w:rsidRPr="00A4268A">
      <w:pPr>
        <w:spacing w:before="240" w:line="276" w:lineRule="auto"/>
        <w:rPr>
          <w:rFonts w:eastAsia="Calibri"/>
        </w:rPr>
      </w:pPr>
      <w:r w:rsidRPr="00A4268A">
        <w:rPr>
          <w:rFonts w:eastAsia="Calibri"/>
        </w:rPr>
        <w:t xml:space="preserve">This audit identified a further shortfall around prescribing of medications.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ensure that care is provided in a way that focuses on the individual, values residents' autonomy and maintains their privacy and choice.  Information about the Code and services is easily accessible to residents and families.  Information on informed consent is provided and discussed with residents and relatives.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Parata home continues to implement their quality and risk management system.  An annual review of the quality plan and incident and accidents reports is completed, and the outcome communicated to staff.  </w:t>
      </w:r>
    </w:p>
    <w:p w:rsidRPr="00A4268A">
      <w:pPr>
        <w:spacing w:before="240" w:line="276" w:lineRule="auto"/>
        <w:rPr>
          <w:rFonts w:eastAsia="Calibri"/>
        </w:rPr>
      </w:pPr>
      <w:r w:rsidRPr="00A4268A">
        <w:rPr>
          <w:rFonts w:eastAsia="Calibri"/>
        </w:rPr>
        <w:t xml:space="preserve">Health and safety policies and procedures are implemented.  The hazards and risk register has been reviewed in 2018.  Health and safety issues are discussed both at the combined staff/quality meetings.  There are procedures to guide staff in managing clinical and non-clinical emergencies and a registered nurse is on call at all times. </w:t>
      </w:r>
    </w:p>
    <w:p w:rsidRPr="00A4268A">
      <w:pPr>
        <w:spacing w:before="240" w:line="276" w:lineRule="auto"/>
        <w:rPr>
          <w:rFonts w:eastAsia="Calibri"/>
        </w:rPr>
      </w:pPr>
      <w:r w:rsidRPr="00A4268A">
        <w:rPr>
          <w:rFonts w:eastAsia="Calibri"/>
        </w:rPr>
        <w:t xml:space="preserve">Annual resident and relative surveys are conducted annually with the most recent during 2018.  Corrective actions and quality improvements have been implemented.  </w:t>
      </w:r>
    </w:p>
    <w:p w:rsidRPr="00A4268A">
      <w:pPr>
        <w:spacing w:before="240" w:line="276" w:lineRule="auto"/>
        <w:rPr>
          <w:rFonts w:eastAsia="Calibri"/>
        </w:rPr>
      </w:pPr>
      <w:r w:rsidRPr="00A4268A">
        <w:rPr>
          <w:rFonts w:eastAsia="Calibri"/>
        </w:rPr>
        <w:t xml:space="preserve">There are human resources management processes in place and annual performance appraisals are completed.  New staff receive an orientation programme prior to their commencement of care to residents.  A staff education programme is implemented. </w:t>
      </w:r>
    </w:p>
    <w:p w:rsidRPr="00A4268A">
      <w:pPr>
        <w:spacing w:before="240" w:line="276" w:lineRule="auto"/>
        <w:rPr>
          <w:rFonts w:eastAsia="Calibri"/>
        </w:rPr>
      </w:pPr>
      <w:r w:rsidRPr="00A4268A">
        <w:rPr>
          <w:rFonts w:eastAsia="Calibri"/>
        </w:rPr>
        <w:t>Staffing levels and skill mix are appropriate for the service level to provide safe service delivery.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service provision.  The care plans are resident, and goal orientated.  Input from the resident/family is evident in the service delivery.  Files sampled identified integration of allied health and a team approach is evident in the overall resident file.  There is a three-monthly general practitioner review.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Planned activities are appropriate to the residents assessed needs and abilities and residents advised satisfaction with the activities programme.</w:t>
      </w:r>
    </w:p>
    <w:p w:rsidRPr="00A4268A" w:rsidP="00621629">
      <w:pPr>
        <w:spacing w:before="240" w:line="276" w:lineRule="auto"/>
        <w:rPr>
          <w:rFonts w:eastAsia="Calibri"/>
        </w:rPr>
      </w:pPr>
      <w:r w:rsidRPr="00A4268A">
        <w:rPr>
          <w:rFonts w:eastAsia="Calibri"/>
        </w:rPr>
        <w:t xml:space="preserve">Medication policies reflect guidelines.  Registered nurses, enrolled nurses and senior caregivers are responsible for administration of medicines and complete annual education and medication competencies.  The medicine charts had photo identification and allergy status documented.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cooked on-site.  The kitchen is well equipped for the size of the service.  Food, fluid, and nutritional needs of residents are provided in line with recognised nutritional guidelines and additional requirements/modified needs were being met.  Residents were complimentary of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Resident rooms are spacious with ensuite facilities.  There is wheelchair access to all areas.  External areas are safe and well maintained.  There are seating areas with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were no residents using restraint or enablers.  Staff receive training and education around restraint minimisation and safe practice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relief manager (enrolled nurse) is the newly appointed infection control officer.  A suite of infection control policies and guidelines meet infection control standards.  Surveillance data is collected, collated and displayed for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2"/>
        <w:gridCol w:w="1280"/>
        <w:gridCol w:w="100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has been implemented and residents and their family/whānau are provided with information on admission.  Complaint forms are available at the foyer.  The residents interviewed were aware of the complaints process and to whom they should direct complaints.  The service has had no complaints in 2018, and one minor complaint in 2019.  Residents and relatives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 and accident forms were reviewed, and documented relatives have been informed.  Six residents and three relatives interviewed stated they are informed of changes in health status and incidents/accidents.  Five resident files have a family page evidencing contact with relatives.  Resident meetings have occurred three-monthly and the registered nurse and management have an open-door policy.  The service has policies and procedures available around access to interpreter services for residents (and their family).  If residents or family/whānau have difficulty with written or spoken English, the interpreter services are made available.  There were no residents requiring this service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Anglican Charitable Trust board provides overarching governance to the service, with support provided by a board trustee/administrator.  The manager reports to the administrator, who provides the trust board with a monthly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level care for up to 26 residents.  On the day of audit, there were 26 residents.  Twenty-five residents were under the age-related residential care services agreement (ARCC) and one resident was on respite.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rest home has a quality plan developed in consultation with the trustees, management and staff.  The quality plan includes the aims of the charitable trust, action plan, timeframes and responsibilities.  The quality plan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long-serving manager, who is an enrolled nurse.  The assistant manager is an experienced registered nurse, and the relief manager is an experienced enrolled nurse.  Both have been in their role for around a year.  The assistant and relief manager share on-call with the facility manager and cover weekends at the facility.  The part time registered nurse (RN) and the assistant manager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full-time administrator is employed to attend to facility business, human resource management and attend the board meetings.  The manager reports to the board.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completed at least eight hours of professional development in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facilitates the quality programme and ensures the internal audit schedules are implemented.  Corrective action plans are developed, implemented and signed off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rest home continues to implement its quality and risk management system.  Annual review of the quality programme and incidents and accidents have been completed and outcomes of these communicated to staff at the three-monthly combined staff/quality meetings.  Discussions with staff (one RN, two caregivers, one activities coordinator, one activities assistant, one maintenance, and one cook) and review of meeting minutes, demonstrated staff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relief manager (EN) is the newly appointed health and safety coordinator.  Health and safety policies and procedures are implemented.  The hazards and risk register was reviewed in 2018.  There is a manager is on call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and the identification of interventions on a case-by-case basis to minimise future falls.  Corrective actions around falls prevention are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linked to the quality and risk management system.  The internal audit programme is implemented.  If an audit identifies shortfalls, required corrective actions are implemented and are signed off in a timely manner.  A monthly summary of internal audit outcomes is provided to the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collates accident/incident, health and safety and infection control data.  Monthly comparisons, and trends are displayed for staff information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surveys have been conducted for 2018, results were collated and showed overall 100%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three-monthly combined staff/quality meeting.  All health and safety matters, infection control statistics and trends, incidents and accidents, falls data, internal audit results and corrective actions compliments/complaints are discussed.  There is an additional report submitted and discussed from the registered nurse around all clinical matters and training.  The manager advised that residents choose not to have resident meetings.  Resident meetings are now held three monthly in small resident groups, facilitated by a volunteer, and are held prior to the quality meeting.  A report is written, and results are discussed at the combined quality/staff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incident/accident forms were reviewed from December 2018 date.  Incidents and accidents are recorded by staff, follow-up is completed by RNs (including the assistant manager) and signed off by the manager.  The accident/incident process includes documentation of the incident and analysis and separation of resident and staff incidents and accidents.  Accidents and incidents are analysed monthly with results discussed at the combined quality assurance/staff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aware of situations that require statutory reporting.  No events have required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Five staff files sampled (the assistant manager, the registered nurse, the activities coordinator, the cook and one caregiver).  They all included: an orientation, training records and competencies.  All staff files reviewed for staff who have been employed for more than 12 months contained a current annual performance appraisal.  Current annual practising certificates are kept on file, and in the locked medication cupboard for quick reference.  A register of RNs, general practitioners (GPs), podiatrist, pharmacist and clinical nurse practitioners’ practising certificates are kept within the facility indicating that all relevant providers have a current practicing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has an orientation/induction programme that provides new staff with relevant information for safe work practice.  The two caregivers interviewed confirmed that an appropriate orientation programme is implemented, including being buddied by another caregiver and review of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training programme is implemented, and it exceeds eight hours annually.  The RN provides internal training to staff along with external experts.  The RN has completed wound care training and attends interactive teleconference training sessions with other age care facilities.  The manager confirmed there is nurse practitioner and nurse specialist input from the local DHB if required.  Residents stated that staff are knowledgeable and skilled.  The RN is the Careerforce assessor.  Currently there are four staff who have completed the Level 3 Careerforce qualification and three of these staff have commenced Level 4 Health Wellbeing and Support.  One staff member has completed Level 2 Foundation Skills.  Two staff have completed the Level 2 Cleaning qualification.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staffing the service.  On the day of audit there were 26 residents.  The manager (enrolled nurse) and the assistant manager (registered nurse) and relief manager (enrolled nurse) work works full-time and provide on call to support staff.</w:t>
            </w:r>
          </w:p>
          <w:p w:rsidR="00EB7645" w:rsidRPr="00BE00C7" w:rsidP="00BE00C7">
            <w:pPr>
              <w:pStyle w:val="OutcomeDescription"/>
              <w:spacing w:before="120" w:after="120"/>
              <w:rPr>
                <w:rFonts w:cs="Arial"/>
                <w:b w:val="0"/>
                <w:lang w:eastAsia="en-NZ"/>
              </w:rPr>
            </w:pPr>
            <w:r w:rsidRPr="00BE00C7">
              <w:rPr>
                <w:rFonts w:cs="Arial"/>
                <w:b w:val="0"/>
                <w:lang w:eastAsia="en-NZ"/>
              </w:rPr>
              <w:t>Another registered nurse works three days per week.  The managers also assist with resident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senior caregiver (medication competent) is on duty on each shift (7.15am - 4.15pm, 2.30pm - 11.00pm, 10.45pm - 7.15am).  Additionally, two caregivers are on morning duty (7.45am to either 2.15pm or 4.15pm, depending on what time the next caregiver comes on).  Three caregivers including the senior caregiver are on duty on the afternoon shift (4.00pm - 11.00pm, 5.30pm - 8.30pm).  One senior caregiver works nightshift and is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At the weekends when the manager is not on duty, an extra caregiver is on duty from 8.00am - 1.00pm, and 3.30pm - 11.00pm.</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interviewed confirmed that staffing levels are adequate, and that management are visible and able to be contacted at any time.  Relatives interviewed reported that call bells are answered promptly and that there are enough staff on duty including when they visit in evenings and at weekends.  The roster evidenced an increase in staffing to meet increased occupancy and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and guideline requirements.  Staff (nurses and senior caregivers) who administer medications have been assessed for competency on an annual basis.  Medications received (blister packs) are checked on delivery by the registered nurse.  All medications are stored safely.  All eye drops are dated on opening.  The medication fridge is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had a clear medication chart, with allergies documented, evidence of a three-month review and photo identification.  Signing sheets were in line with medications prescribed.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‘As required’ medications were not always prescribed correctly, and did not always document the indications for use.  Signing sheets were in line with the medication chart, and all ‘as required’ medications had been administered correctly.  Registered nurse, enrolled nurses and caregivers interviewed could describe their role regarding medicine administration.  All staff administering medications have completed an annual medication competency assessment.  There were no self-medicating residents at the time of audit.  The medication round observed was not completed as per policy and procedure.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were documented on incident forms and investigated with competencies of staff being reviewed where appropriate.  The internal auditing programme includes medication audits completed by the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expiring 13 March 2019.  All meals and baking at Parata Rest Home are prepared and cooked on-site by a team of three cooks.  A relief cook, and kitchenhands provide cover across seven days.  There is a four-weekly seasonal menu, which had been reviewed by a dietitian in June 2018.  Food preferences are met, and staff can access the kitchen at any time to prepare a snack if a resident is hungry.  The cook receives a dietary profile of resident dietary requirements and any likes or dislikes including updates.  Special diets including modified foods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and end cooked temperatures are recorded daily.  Chemicals are stored safely.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direct input from residents, provide resident feedback on the meals and food services.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for this audit.  Caregivers follow the care plan and report progress against the care plan each shift at handover.  If external nursing or allied health advice is required, the RN will initiate a referral (eg, to the dietitian, district nurse or wound care specialist nurse).  If external medical advice is required, this will be actioned by the GPs.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Continence products are available and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wound assessment, plan and evaluations were in place for the current wound (chronic ulcer), and documents progression towards healing.  The previous finding has been addressed.  There were no residents with pressure injuries on the day of the audit.  The RN has access to specialist nursing wound care management advice through the district nursing service and DHB wound care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assistant and relief managers, RN, and caregivers demonstrated an understanding of the individualised needs of residents.  Care plan interventions had all been updated to reflect when there was a change in residents’ needs.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 use included; repositioning charts, restraint monitoring,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coordinator who works 19.5 hours per week and works Wednesdays, Thursdays and Fridays each week, and an activities assistant who works one day a week.  Activities on a Monday, Tuesday and at the weekend are delivered by volunteers from the community.  There is a set activity programme that is resident-focused and is planned around residents’ interests and suggestions.  The programme meets the recreational needs of the rest home level care residents and reflects normal patterns of life.  The monthly planner includes a mixture of group activities including bowls, outings to other facilities, crafts, and entertainment.  Individual activities are offered.  Resident meetings are held in small groups on a three-monthly basis, the activities staff regularly ask the residents for feedback and suggestions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The documentation in the resident files sampled reflected the specific needs and interests of each resident.  In the files reviewed the recreational plans had been reviewed six-monthly at the same time as the care plans were reviewed.  Relatives and residents interviewed, advised that the activity programme was interesting, and the residents were encouraged to participate.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to transport residents to events in the community and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sampled, initial care plans have been evaluated by RNs within three weeks of admission.  The long-term care plans are evaluated at least six-monthly or earlier if there is a change in health condition.  There was at least a three-monthly review by the GP.  All changes in health status are documented and followed up.  Short-term care plans have been evaluated and resolved or added to the long-term care plan if the problem is ongoing.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Rest Home has a current building warrant of fitness, which expires on 14 June 2019.  Hot water temperatures are checked randomly each month.  Medical equipment and electrical appliances have been tested and tagged and calibrated.  There is a planned schedule to maintain regular and reactive maintenance.  Residents were observed to mobilise safely within the facilities.  There are sufficient seating areas throughout the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exterior has been well maintained with safe paving, outdoor shaded seating, lawn and gardens.  There is wheelchair access to all communal areas.  Caregivers interviewed confirmed there was adequate equipment to carry out the cares according to the resident needs and as identified in the care plans.  There is safe access the outdoor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is managed by the assistant manager along with the RN.  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quality/staff meetings and results posted for staff to view.  If there is an emergent issue, it is acted upon in a timely manner.  Reports are easily accessible to the manager.  The infection rate is very low and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and restraint is actively minimised.  The registered nurse oversees the restraint process within the facility.  There are policies around restraint, enablers and the management of residents who may exhibit behaviours that challenge.  The service currently has no residents using restraints or enablers, four residents were using bed hoops.  Any resident requiring restraint or who exhibited behaviours that may challenge, would be reassessed to determine their suitability to continue to reside in the rest home.  Staff receive mandatory training around restraint minimisation.  All care staff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6"/>
        <w:gridCol w:w="1280"/>
        <w:gridCol w:w="5203"/>
        <w:gridCol w:w="2360"/>
        <w:gridCol w:w="17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medication charts were clear, and the signing sheets were in line with the regular medications prescribed.  ‘As required’ medications were documented, but did not consistently document indications for use.  The signing sheets document correct administration of the medication.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Six of ten charts do not have documented indications for use of ‘as required’ medications.</w:t>
            </w:r>
          </w:p>
          <w:p w:rsidR="00EB7645" w:rsidRPr="00BE00C7" w:rsidP="00BE00C7">
            <w:pPr>
              <w:pStyle w:val="OutcomeDescription"/>
              <w:spacing w:before="120" w:after="120"/>
              <w:rPr>
                <w:rFonts w:cs="Arial"/>
                <w:b w:val="0"/>
                <w:lang w:eastAsia="en-NZ"/>
              </w:rPr>
            </w:pPr>
            <w:r w:rsidRPr="00BE00C7">
              <w:rPr>
                <w:rFonts w:cs="Arial"/>
                <w:b w:val="0"/>
                <w:lang w:eastAsia="en-NZ"/>
              </w:rPr>
              <w:t>ii) Four of ten medication charts have the same drug prescribed regularly and ‘as required’ with no maximum dose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‘as required’ medications are prescribed correctly and document indications for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Parata Anglican Charitable Trust - Parata Anglican Charitable Trust</w:t>
    </w:r>
    <w:bookmarkEnd w:id="58"/>
    <w:r>
      <w:rPr>
        <w:rFonts w:cs="Arial"/>
        <w:sz w:val="16"/>
        <w:szCs w:val="20"/>
      </w:rPr>
      <w:tab/>
      <w:t xml:space="preserve">Date of Audit: </w:t>
    </w:r>
    <w:bookmarkStart w:id="59" w:name="AuditStartDate1"/>
    <w:r>
      <w:rPr>
        <w:rFonts w:cs="Arial"/>
        <w:sz w:val="16"/>
        <w:szCs w:val="20"/>
      </w:rPr>
      <w:t>28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