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Terrace View Lifecare Limited - Terrace View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Terrace View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Terrace View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28 March 2019</w:t>
      </w:r>
      <w:bookmarkEnd w:id="7"/>
      <w:r w:rsidRPr="009418D4">
        <w:rPr>
          <w:rFonts w:cs="Arial"/>
        </w:rPr>
        <w:tab/>
        <w:t xml:space="preserve">End date: </w:t>
      </w:r>
      <w:bookmarkStart w:id="8" w:name="AuditEndDate"/>
      <w:r w:rsidR="00A4268A">
        <w:rPr>
          <w:rFonts w:cs="Arial"/>
        </w:rPr>
        <w:t>28 March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Terrace View Lifecare Limited provides rest home and hospital level care for up to 63 residents. The service is operated by a private company and managed by a facility manager and a clinical services manager. Residents and families spoke positively about the care provided.</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and a general practitioner.  </w:t>
      </w:r>
    </w:p>
    <w:p w:rsidRPr="00A4268A">
      <w:pPr>
        <w:spacing w:before="240" w:line="276" w:lineRule="auto"/>
        <w:rPr>
          <w:rFonts w:eastAsia="Calibri"/>
        </w:rPr>
      </w:pPr>
      <w:r w:rsidRPr="00A4268A">
        <w:rPr>
          <w:rFonts w:eastAsia="Calibri"/>
        </w:rPr>
        <w:t xml:space="preserve">This audit has resulted in four areas requiring improvement relating to staffing, documentation, evaluation of care plans and care plan changes.  Improvements have been made to cleaning processes, addressing the area requiring improvement at the previous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A multidisciplinary team that includes a registered nurse and a physiotherapist, assesses residents’ needs on admission. Care plans are individualised, based on a comprehensive range of information. Regular medical reviews by the person’s chosen general practitioner are on file. Residents’ files reviewed demonstrated that multidisciplinary review and evaluation processes for the care provided are planned and efforts are made to keep the records updated. Service delivery is consistent with the documentation in long term care plans.</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that they may choose to participate in. Community links are maintained with residents going to external events and with community groups visiting. </w:t>
      </w:r>
    </w:p>
    <w:p w:rsidRPr="00A4268A" w:rsidP="00621629">
      <w:pPr>
        <w:spacing w:before="240" w:line="276" w:lineRule="auto"/>
        <w:rPr>
          <w:rFonts w:eastAsia="Calibri"/>
        </w:rPr>
      </w:pPr>
      <w:r w:rsidRPr="00A4268A">
        <w:rPr>
          <w:rFonts w:eastAsia="Calibri"/>
        </w:rPr>
        <w:t>Safe medicine management systems are in place. Medicines are administered by staff who are competent to do so.</w:t>
      </w:r>
    </w:p>
    <w:p w:rsidRPr="00A4268A" w:rsidP="00621629">
      <w:pPr>
        <w:spacing w:before="240" w:line="276" w:lineRule="auto"/>
        <w:rPr>
          <w:rFonts w:eastAsia="Calibri"/>
        </w:rPr>
      </w:pPr>
      <w:r w:rsidRPr="00A4268A">
        <w:rPr>
          <w:rFonts w:eastAsia="Calibri"/>
        </w:rPr>
        <w:t xml:space="preserve">The food service meets the nutritional needs of the residents with special needs and personal preferences catered for. Safe food handling processes are implemented. Residents informed they enjoy the meals and that there are adequate options.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No enablers and no restraints were in use at the time of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23"/>
        <w:gridCol w:w="1280"/>
        <w:gridCol w:w="102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electronic complaints register reviewed showed that four complaints have been received over the past year and that actions taken, through to an agreed resolution, are documented and completed within the timeframes. Action plans showed any required follow up and improvements have been made where possible. The facility manager (FM) is responsible for complaints management and follow up.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reported this was rarely required due to all residents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business plan, which is reviewed annually, outlines the purpose, values, scope, direction and goals of the organisation. The documents described annual and long-term objectives and the associated operational plans. A sample of monthly reports to the owners showed adequate information to monitor performance is reported including  occupancy, sales, inquiries, deaths, sick leave, staff vacancies, meetings, education, compliance, outstanding issues, complaints and adverse events.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facility manager (FM) who holds relevant qualifications and has been in the role for four years. Responsibilities and accountabilities are defined in a job description and individual employment agreement.  The FM confirmed knowledge of the sector, regulatory and reporting requirements and maintains currency through ongoing professional development and sector meetings and seminars.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district health board (DHB) and the Ministry of Health (MoH) for younger persons with a disability (YPD), respite, complex medical conditions, palliative care and rest home care. Fifty-two residents were receiving services under the contracts at the time of audit. Twenty-four rest home level residents and 21 hospital level. Seven residents under these contracts were private paying. Another seven residents were independent living in the facility’s apartments.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patient satisfaction survey, monitoring of outcomes, clinical incidents including infections and restraint minimisation. </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management team meeting/quality and risk team meetings and staff meetings. Staff reported their involvement in quality and risk management activities through audit activities and meeting participation. Relevant corrective actions are developed and implemented to address any shortfalls. Resident and family satisfaction surveys are completed annually. The most recent survey showed overall satisfaction in all areas with improvement in food service. One staff issue was raised, and this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There are detailed cleaning routines and staff were aware of and followed these, meeting a previous required improvement. The electronic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described the processes for the identification, monitoring, review and reporting of risks and development of mitigation strategies.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to the owners in the monthly report, and they have access on the electronic system.</w:t>
            </w:r>
          </w:p>
          <w:p w:rsidR="00EB7645" w:rsidRPr="00BE00C7" w:rsidP="00BE00C7">
            <w:pPr>
              <w:pStyle w:val="OutcomeDescription"/>
              <w:spacing w:before="120" w:after="120"/>
              <w:rPr>
                <w:rFonts w:cs="Arial"/>
                <w:b w:val="0"/>
                <w:lang w:eastAsia="en-NZ"/>
              </w:rPr>
            </w:pPr>
            <w:r w:rsidRPr="00BE00C7">
              <w:rPr>
                <w:rFonts w:cs="Arial"/>
                <w:b w:val="0"/>
                <w:lang w:eastAsia="en-NZ"/>
              </w:rPr>
              <w:t>The FM described essential notification reporting requirements, including for pressure injuries. They advised there has been one notification of a significant event made to the Ministry of Health, since the previous audit. This occurred on the day of the audit and relates to staffing.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a three-month and annual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There are enough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four weeks of a roster cycle confirmed adequate staff cover has been provided, with staff replaced in any unplanned absence. However, there is a shortage of registered nurses (RNs) and the clinical nurse manager (CNM) has been filling these gaps; this requires improvement. At least one staff member on duty has a current first aid certificate and there is 24/7 RN coverage in the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electronic system for medicine management was observed on the day of audit. The staff observed demonstrated good knowledge and had a clear understanding of their roles and responsibilities related to each stage of medicine management.  On the day of audit, there was good clinical nurse manager oversight of the support workers who were administering medicines. Records sighted confirmed that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A pharmacist makes weekly visits and signs in newly packaged medicines and any controlled medicines. All medications sighted were within current use by dates.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identity and date recorded on the commencement and discontinuation of medicines and all requirements for pro re nata (PRN) medicines met. The required three-monthly GP medication review is consistently recorded on the medicine chart.  Standing orders are not used and nor are faxed medicine records.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Three-monthly reviews are completed by the GP and a registered nurse for each of the three people who self-medicate and on the day of audit these were current. The self-medication process is a compromise due to the physical restrictions of their storage in the resident’s room.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 through the adverse event reporting system.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experienced cooks and kitchen hands and is in line with recognised nutritional guidelines for older people.  The menu follows summer and winter patterns. Although review of the menu by a qualified dietitian was marginally overdue on the day of audit, a date in early April had been secured for this to be re-reviewed to confirm that it meets the needs of the older adult.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control plan issued by the local council that is valid until 1 February 2020. Food temperatures, including for high risk items, are monitored appropriately and recorded as part of the plan, as are hot food temperatures. The food services manager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consistently accommodated in the daily meal plan. Special equipment, to meet individual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and resident meeting minutes. Residents were seen to be given sufficient time to eat their meal in an unhurried fashion and those requiring assistance had this provided. The dining room was calm and relaxed during the mid-day meal.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Click here to enter text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verified that the overall provision of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‘up there with the best available in such facilities’. Care staff confirmed that care is provided as outlined in the documentation for each person. A range of equipment and resources was available, although as mentioned throughout the report, there is a need for more registered nurses to ensure all aspects of residents’ care and support are met at the level required and within the expected timeframes.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two trained diversional therapists holding the national Certificate in Diversional Therapy. One of the therapists was interviewed and expressed confidence in the activity programme while telling stories about residents’ involvement.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Individualised activity plans are subsequently developed using a holistic approach. The evaluation and timeframes vary with additional reviews as indicated, but all residents’ files reviewed had an evaluation and review report that had been completed within the past six months, even when the support plan had not been evaluated. Participation records were also evident.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reflected residents’ goals, ordinary patterns of life and include normal community activities. Individual, group activities and regular events are offered. Activities assessments are regularly reviewed to help formulate an activities programme that is meaningful to both individuals and groups of the residents. Residents and families/whānau are involved in evaluating and improving the programme through residents’ meetings, informal meetings and satisfaction surveys. Residents interviewed confirmed they find the programme interesting and varied with some expression excitement about the diversity of options. Strong community links are being maintained with regular visits to events and local venues, as well as external groups such as school children and entertainers visiting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a registered nurse. </w:t>
            </w:r>
          </w:p>
          <w:p w:rsidR="00EB7645" w:rsidRPr="00BE00C7" w:rsidP="00BE00C7">
            <w:pPr>
              <w:pStyle w:val="OutcomeDescription"/>
              <w:spacing w:before="120" w:after="120"/>
              <w:rPr>
                <w:rFonts w:cs="Arial"/>
                <w:b w:val="0"/>
                <w:lang w:eastAsia="en-NZ"/>
              </w:rPr>
            </w:pPr>
            <w:r w:rsidRPr="00BE00C7">
              <w:rPr>
                <w:rFonts w:cs="Arial"/>
                <w:b w:val="0"/>
                <w:lang w:eastAsia="en-NZ"/>
              </w:rPr>
              <w:t>The clinical nurse manager plans for normal care plan evaluations to occur every six months in conjunction with the six-monthly interRAI reassessment, or as residents’ needs change. Where progress is different from expected, the registered nurses are expected to make appropriate changes to the residents’ care plans. Examples of short-term care plans were sighted but not all included evidence of reviews occurring, although there was evidence of short-term problems having been transferred onto the long-term care plans. Residents and families/whānau interviewed provided examples of when they had received verbal updates from the clinical nurse manager, and they spoke of previous involvement in evaluation and review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Evaluation and review processes were checked during the review of residents’ service delivery plans. There were a number of examples of short and long-term care plans not having been reviewed, or the goals and progress formally evaluated, within the expected timeframes. This had become an issue from October/November 2018. Likewise, there were examples of long-term care plans not being updated when changes had occurred for the person. Although corrective actions were raised during the audit to address these issues, it is acknowledged that the service provider had already identified the concerns in an internal audit and a planning document for change was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01 Jan 2020) is publicly displayed.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scabies. The infection control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the clinical manager and owners.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no residents were using restraints and no residents were using enablers. This was evident on review of the restraint approval group minutes, observation and from interview with staff.</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16"/>
        <w:gridCol w:w="1280"/>
        <w:gridCol w:w="6825"/>
        <w:gridCol w:w="2769"/>
        <w:gridCol w:w="15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Observations and review of four weeks of roster cycle confirmed adequate staff cover has been provided, with staff replaced in any unplanned absence. However, there is a shortage of RNs and the CNM has been filling these gaps. The facility has been actively advertising for RNs since November 2018.</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shortage of RN staff. The facility has been recruiting for two extra RNs since November without success. While all shifts are covered with an RN, and staffing meets minimum requirements, this is because the CNM often steps in to cover for absenteeism. This leaves the required CNM duties not always being completed including documentation in residents’ records.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there is adequate RN staff to provide safe service delivery.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overall systems in place for assessment, service planning and evaluation and review processes are comprehensive. Effective documentation provided by a quality consultancy is in use. It was noted during the review of residents’ records, both for one of the tracers and some of the extended sample, that there were gaps, or incomplete documents. Examples included overdue interRAI reassessments, overdue evaluation and reviews, inconsistencies between records such as a fluid balance chart in use but no indication of why, short term problems being described in progress notes, rather than in short term care plans and blank multi-disciplinary forms.  One person admitted at the end of 2018 still did not have a long-term care plan on file.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and clinical nurse manager confirmed during interview that there is currently insufficient registered nurse resource available and some of the required documentation had not been completed within the expected timeframes.  This had also been identified in an internal audit of residents’ records that had been undertaken by the facility manager, and although an organisational action plan was under development this has not yet been implemented due to difficulties recruiting registered nurses. (Refer Standard 1.2.8)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related to residents’ assessment, planning and evaluation processes is not all being completed within the required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numbers of registered nurses will be available to enable residents’ assessment, planning and evaluation processes and documentation is completed within the required timeframes.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Frameworks are in place for evaluation and review processes, which are expected to be completed when significant changes occur for a resident or at least six-monthly. A multi-disciplinary team meeting template is available to assist with the evaluation of residents’ goals. The clinical nurse manager has a record of due dates for interRAI reassessments, for the evaluations of the level of achievement of personal goals and for care plans. Progress notes are comprehensive and these detail updates of progress with short term problems and long-term care plans. Evaluations of activity plans are being consistently completed at six monthly intervals, with previous reviews completed three-monthly.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Evaluations and reviews of care plans due prior to November 2018 were evident in all residents’ files reviewed. However, there was no evidence that care plan reviews due after this date had been completed, there were blank multidisciplinary forms on residents’ files and staff reported using progress notes to ensure residents’ needs were met. There were few short-term care plans and one dated November 2018 did not state if the issue had resolved, or if it had been transferred to the long-term care plan . One issue for one resident had reportedly resolved but meantime a similar issue had occurred for the person, although this was not evident in the documentation.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Overdue evaluations mean that the degree of achievement, or response to support and/or interventions, was not always evident in short and long-term care plans that were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documented evaluations and reviews that are current and indicate the degree of achievement or response to the goals, support and/or interventions.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1.3.8.3</w:t>
            </w:r>
          </w:p>
          <w:p w:rsidR="00EB7645" w:rsidRPr="00BE00C7" w:rsidP="00BE00C7">
            <w:pPr>
              <w:pStyle w:val="OutcomeDescription"/>
              <w:spacing w:before="120" w:after="120"/>
              <w:rPr>
                <w:rFonts w:cs="Arial"/>
                <w:b w:val="0"/>
                <w:lang w:eastAsia="en-NZ"/>
              </w:rPr>
            </w:pPr>
            <w:r w:rsidRPr="00BE00C7">
              <w:rPr>
                <w:rFonts w:cs="Arial"/>
                <w:b w:val="0"/>
                <w:lang w:eastAsia="en-NZ"/>
              </w:rPr>
              <w:t>Where progress is different from expected, the service responds by initiating changes to the service delivery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Progress reports written on each shift are comprehensive and informative. In addition to evaluations and reviews not occurring within expected timeframes, there were examples of service delivery plans not accurately reflecting the current needs of the residents. Fluid balance records were being completed for one person; however, the reasons were not evident in medical or nursing notes and the care plan had not been updated. Records of a GP visit to a resident noted concerns about adverse behaviours that were also noted in progress notes. The behaviour section of the care plan stated there were no concerns and there was no behaviour management plan. There was no short-term care plan found for a person with a scalp infection during the month of the audit. The facility manager and clinical nurse manager attributed these shortcomings to the lack of registered nurse resource available to update this level of documentation.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three significant examples found of care plans not being updated to reflect changes in the residents’ conditions.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Re-assessments are undertaken, and relevant changes are made to the service delivery plan, when changes to a residents’ short and/or long-term needs are identified,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Terrace View Lifecare Limited - Terrace View Retirement Village</w:t>
    </w:r>
    <w:bookmarkEnd w:id="58"/>
    <w:r>
      <w:rPr>
        <w:rFonts w:cs="Arial"/>
        <w:sz w:val="16"/>
        <w:szCs w:val="20"/>
      </w:rPr>
      <w:tab/>
      <w:t xml:space="preserve">Date of Audit: </w:t>
    </w:r>
    <w:bookmarkStart w:id="59" w:name="AuditStartDate1"/>
    <w:r>
      <w:rPr>
        <w:rFonts w:cs="Arial"/>
        <w:sz w:val="16"/>
        <w:szCs w:val="20"/>
      </w:rPr>
      <w:t>28 March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