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Fairview Care Limited - Fairview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Fairview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Fairview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April 2019</w:t>
      </w:r>
      <w:bookmarkEnd w:id="7"/>
      <w:r w:rsidRPr="009418D4">
        <w:rPr>
          <w:rFonts w:cs="Arial"/>
        </w:rPr>
        <w:tab/>
        <w:t xml:space="preserve">End date: </w:t>
      </w:r>
      <w:bookmarkStart w:id="8" w:name="AuditEndDate"/>
      <w:r w:rsidR="00A4268A">
        <w:rPr>
          <w:rFonts w:cs="Arial"/>
        </w:rPr>
        <w:t>16 April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Fairview Care Limited (Fairview Care) provides rest home and hospital level care for up to 47 residents. The service is operated by Premiere Lifestyle Limited and managed by a care manager and clinical nurse leader. Residents and families spoke positively about the care provided.</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the chief executive officer (CEO), residents, family members, the general practitioner (GP), management and staff.  </w:t>
      </w:r>
    </w:p>
    <w:p w:rsidRPr="00A4268A">
      <w:pPr>
        <w:spacing w:before="240" w:line="276" w:lineRule="auto"/>
        <w:rPr>
          <w:rFonts w:eastAsia="Calibri"/>
        </w:rPr>
      </w:pPr>
      <w:r w:rsidRPr="00A4268A">
        <w:rPr>
          <w:rFonts w:eastAsia="Calibri"/>
        </w:rPr>
        <w:t xml:space="preserve">This audit has resulted in three areas requiring improvement relating to interRAI assessments, resident satisfaction surveys and staff emergency training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At Fairview Care, open communication between staff, residents and families is promoted.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at regular resident meetings.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is in place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is coordinated in a manner that promotes continuity in service delivery and promotes a team approach to care delivery.  There are policies in place to support assessment, planning, provision of care, evaluation and exits for residents to safely meet the needs of the residents and contractual requirements. </w:t>
      </w:r>
    </w:p>
    <w:p w:rsidRPr="00A4268A" w:rsidP="00621629">
      <w:pPr>
        <w:spacing w:before="240" w:line="276" w:lineRule="auto"/>
        <w:rPr>
          <w:rFonts w:eastAsia="Calibri"/>
        </w:rPr>
      </w:pPr>
      <w:r w:rsidRPr="00A4268A">
        <w:rPr>
          <w:rFonts w:eastAsia="Calibri"/>
        </w:rPr>
        <w:t xml:space="preserve">Residents have interRAI assessments completed and individualised care plans related to this programme.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Eight enablers were in use at the time of audit. No restraints were in use.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8"/>
        <w:gridCol w:w="1280"/>
        <w:gridCol w:w="104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have been received over the past year and that actions taken, through to an agreed resolution, are documented and completed within the timeframes.  Action plans showed any required follow up and improvements have been made where possible.  The care manager is responsible for complaints management and follow up. The Chief Executive Officer (CEO) confirmed he is kept informed of all complaints. All staff interviewed demonstrated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At the time of audit one resident did not speak English; however, staff are able to provide interpretation as and when needed, along with family members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vision, values, scope, direction and goals of the organisation. The documents described annual and longer term objectives and the associated operational plans. A sample of weekly email reports to the CEO from the care manager and monthly written reports to the board of directors/owners showed adequate information to monitor performance is reported including financial performance, quality data information, emerging risks and issues. The CEO has overall responsibility for the services offered at Fairview Care and Fairview Village which is part of the same complex. The CEO reports directly to the board of trustees which consists of four members, the chairman/director, two owner/directors and one independent board member. It was confirmed during interview that documented reporting occurs monthly or more regularly if any major issues arise.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 is managed by a registered nurse who is the care manager. She holds relevant qualifications including a Masters in Nursing (Massey University 2013) and a level four certificate in management (EMA). She has been in the current role for 18 months. Prior to a restructuring of roles, the care manager was the clinical manager at the facility for three and a half years. She is supported by the clinical nurse leader (CNL) who is also a registered nurse with over six years’ experience in aged care and has been in the role since January 2018. Responsibilities and accountabilities are defined in a job description and individual employment agreement.  The care manager confirmed knowledge of the sector, regulatory and reporting requirements and maintains currency through regular clinical and management education.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an Age Related Residential Care (ARRC) contract with Waitemata District Health Board (WDHB) for hospital and rest home level care which includes respite.  Forty-six residents were receiving services under the ARRC contract being five rest home level care and 41 hospital level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monitoring of outcomes, clinical incidents including infections,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management and staff meetings. The monthly registered nurse meeting is used to monitor quality and risk and quality data findings. Staff reported their involvement in quality and risk management activities through being members of specific committees such as infection control, falls, nutrition and restraint as well as undertaking audit activities, and implementation of corrective actions. Relevant corrective actions are developed and implemented to address any shortfalls. Regular resident meetings are held and residents are asked if they have any issues or concerns. The service completes a six-week post-admission survey for all residents where family input is included. Any issues that arise from these individual surveys or resident meetings are addressed accordingly using the corrective action process. The last resident and family satisfaction survey was undertaken in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care manager and the CNL described the processes for the identification, monitoring, review and reporting of risks and development of mitigation strategies. The manager is familiar with the Health and Safety at Work Act (2015) and has implemented requirements. An up to date risk register is available to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across all areas of the organisation to include staff, management and the board.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and the CNL described essential notification reporting requirements, including for pressure injuries.  They advised there have been no notifications of significant events made to the Ministry of Health, since the previous audit. There have been no police investigations, coroner’s inquests or issues-based audits. A notification was made to public health related to a Noro-virus outbreak in November 2018. (Refer comments in section 3.5).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performance reviews after an 11-week period and annual staff appraisals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There is no process in place to follow up on staff who do not complete annual mandatory training.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(Refer comments in 1.3.3.3 related to interRAI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This was evident in the management report sighted which identified one newly admitted resident who was restless at night was managed by having an additional staff member on nights for four nights until the resident settled. An afterhours on call roster is in place, with staff reporting that good access to advice is available when needed.   Care staff reported there were adequate staff available to complete the work allocated to them.  Residents and family interviewed supported this. Staffing levels meet the interRAI acuity level report findings.  Observations and review of a three weeks’ rosters confirmed adequate staff cover has been provided, with staff replaced in any unplanned absence.  All clinical staff hold current first aid certificates and there is 24/7 RN coverage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CNL works eight hours Monday to Friday and is on call. The care manager works Monday to Friday and is on call. There are 52 activity hours one week and alternate weeks there are 60 activity hours. Dedicated cleaning staff work 78 hours per week, laundry staff 56 hours per week and kitchen hands 87.5 hours per week. The main kitchen staff are managed by the village. The administrator works 32.5 hours per week and receptionist 20 hours per week. A physiotherapy assistant works 16 hours per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medicine chart.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was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the village kitchen manager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The kitchen was audited by the Auckland City Council in May 2018 and was awarded an A for excellent (100%) grade.  Registration was issued and expires 17 May 2019.  Food temperatures, including for high risk items, are monitored appropriately and recorded as part of the plan. The kitchen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on the day of audit.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a high standard of care is provided.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one trained diversional therapist holding the national Certificate in Diversional Therapy, and an activities co-ordinator also training to become a diversional therapist.  Residents are supported by the activities team Monday to Friday 9.00 am to 4.00 pm, Saturdays and alternative Sundays 9.00 am to 1.00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Residents and families/whānau are involved in evaluating and improving the programme through day to day discussions and residents’ meetings.  Residents and families interviewed on the day of audit confirmed they find the programme interactive and lots of fun.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weight loss, wounds and infections.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12 February 2020) was publicly displayed on at the entrance to the care unit. Residents and family members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infections, respiratory tract infections, skin, wound, eye, gastro enteritis and other infections.  The IPC co-ordinator with the support of the clinical nurse leader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Forty-three residents consented to the flu vaccine in April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75 infections from October 2018 through to and including March 2019.   Residents’ files reviewed highlighted short term and long-term care planning to reduce and minimise the risk of infection.  There was evidence of over reporting of infections.   Care staff interviewed demonstrated knowledge of residents who have a higher risk of infections and the interventions required.  Benchmarking does not occur.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which occurred between 22 November 2018 and 2 December 2018 where nine residents and one staff member were affected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Policy states that enablers are the least restrictive devices, equipment or furniture voluntarily used by residents. The restraint coordinator provides support and oversight for enabler and restraint management in the facility as set out in the job description.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eight residents were using bedside loop enablers, which did not restrict the residents’ movement but had been put in place at the residents request to enable them to continue independence. The files reviewed for enabler use contained signed consent and all completed reviews and assessments. Enablers were identified on the resident’s care plan.</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88"/>
        <w:gridCol w:w="1280"/>
        <w:gridCol w:w="6706"/>
        <w:gridCol w:w="2181"/>
        <w:gridCol w:w="19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process which includes regular collection, collation, review and reporting of quality data, complaints, restraint, health and safety and any other issues that may arise across all levels of the organisation. All quality achievements are measured against the strategic and business plans by the management group and board of trustees. One of the measures that is stated as attributing to the measure of achievement is a regular annual resident/family satisfaction surveys. This has not occurred since 2017. The service does use information gathered from residents’ meetings, multidisciplinary meetings and six-week post admission surveys to make improvements to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last documentation located related to a resident/family satisfaction survey is dated 2017 and the results of this survey had not been collated or analysed.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resident/family satisfaction surveys are undertaken at least yearly, and that the data is used to measure achievement against the quality and risk planning process as identified in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education plan identifies ongoing education which is presented at least monthly on-site by the CNL and guest speakers such as the gerontology nurse specialist from WDHB, physiotherapists and specialist nurse practitioners, as appropriate. All education is recorded for individual staff but if a staff member does not complete the annual required compulsory education sessions this is not being followed up. The CNL confirmed during interview that the service recognised this as an issue and that the newly introduced electronic data base was commenced to address this.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management fire training is one of the required compulsory education sessions and in two of the six staff files reviewed there is no evidence of when the staff members last undertook this training following orientation.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staff who have not attended compulsory annual education sessions are followed up to ensure compliance.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individual details and resident specific initial care plans and long-term care plans.  Residents have an interRAI assessment completed by one of five trained interRAI assessors on site.  Staff interviewed stated that they knew the residents well and were able to identify and meet their needs.  Residents and families confirmed their involvement in the assessment process.  The facility was able to show evidence of the three residents having had previous interRAI assessments; however, on the day of audit the three residents did not have an up to date interRAI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residents residing at the facility do not have an up to date interRAI assessment as was required in March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residents have an up to date interRAI assessment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Fairview Care Limited - Fairview Care</w:t>
    </w:r>
    <w:bookmarkEnd w:id="58"/>
    <w:r>
      <w:rPr>
        <w:rFonts w:cs="Arial"/>
        <w:sz w:val="16"/>
        <w:szCs w:val="20"/>
      </w:rPr>
      <w:tab/>
      <w:t xml:space="preserve">Date of Audit: </w:t>
    </w:r>
    <w:bookmarkStart w:id="59" w:name="AuditStartDate1"/>
    <w:r>
      <w:rPr>
        <w:rFonts w:cs="Arial"/>
        <w:sz w:val="16"/>
        <w:szCs w:val="20"/>
      </w:rPr>
      <w:t>16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