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Thorrington Village Limited - Thorrington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Thorrington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Thorrington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March 2019</w:t>
      </w:r>
      <w:bookmarkEnd w:id="7"/>
      <w:r w:rsidRPr="009418D4">
        <w:rPr>
          <w:rFonts w:cs="Arial"/>
        </w:rPr>
        <w:tab/>
        <w:t xml:space="preserve">End date: </w:t>
      </w:r>
      <w:bookmarkStart w:id="8" w:name="AuditEndDate"/>
      <w:r w:rsidR="00A4268A">
        <w:rPr>
          <w:rFonts w:cs="Arial"/>
        </w:rPr>
        <w:t>22 March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Thorrington Village is owned by Archer Group, who own one other care facility and another village.  The service provides dementia and rest home level care for up to 48 residents including rest home level care for up to a further 13 residents in studios under license to occupy arrangements.  On the day of the audit there were 37 residents.</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The service is managed by a manager who has both management and aged care experience.   The manager is supported by an experienced clinical nurse manager.  They are supported by the general manager for the Archer Group.  Residents, relatives and the GP interviewed spoke positively about the service provided.</w:t>
      </w:r>
    </w:p>
    <w:p w:rsidRPr="00A4268A">
      <w:pPr>
        <w:spacing w:before="240" w:line="276" w:lineRule="auto"/>
        <w:rPr>
          <w:rFonts w:eastAsia="Calibri"/>
        </w:rPr>
      </w:pPr>
      <w:r w:rsidRPr="00A4268A">
        <w:rPr>
          <w:rFonts w:eastAsia="Calibri"/>
        </w:rPr>
        <w:t>The service has exceeded the standard around infection control surveillance and chaplaincy services.</w:t>
      </w:r>
    </w:p>
    <w:p w:rsidRPr="00A4268A">
      <w:pPr>
        <w:spacing w:before="240" w:line="276" w:lineRule="auto"/>
        <w:rPr>
          <w:rFonts w:eastAsia="Calibri"/>
        </w:rPr>
      </w:pPr>
      <w:r w:rsidRPr="00A4268A">
        <w:rPr>
          <w:rFonts w:eastAsia="Calibri"/>
        </w:rPr>
        <w:t>This audit has identified areas for improvement around; enduring power of attorney and neurological observations following falls.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Policies and procedures adhere with the requirements of the Code of Health and Disability Services Consumers’ Rights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The personal privacy and values of residents are respected.  There is an established Māori health plan in place.  Individual care plans reference the cultural needs of residents.  Discussions with residents and relatives confirmed that residents and their families are involved in care decisions.  Regular contact is maintained with families, including if a resident is involved in an incident or has a change in their current health.  Families and friends are able to visit residents at times that meet their needs.  Examples of good practice were provided.</w:t>
      </w:r>
    </w:p>
    <w:p w:rsidRPr="00A4268A">
      <w:pPr>
        <w:spacing w:before="240" w:line="276" w:lineRule="auto"/>
        <w:rPr>
          <w:rFonts w:eastAsia="Calibri"/>
        </w:rPr>
      </w:pPr>
      <w:r w:rsidRPr="00A4268A">
        <w:rPr>
          <w:rFonts w:eastAsia="Calibri"/>
        </w:rPr>
        <w:t xml:space="preserve">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The village/quality manager is responsible for the day-to-day operations.  Goals are documented for the service with evidence of regular reviews.  A quality and risk management programme is in place.  Data is collected, analysed and discussed and changes made as a result of trend analysis.  Quality improvement plans are developed when service shortfalls are identified.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Ongoing education and training is in place, which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each day, seven days a week.  Residents and families reported that staffing levels are adequate to meet the needs of the residents.  </w:t>
      </w:r>
    </w:p>
    <w:p w:rsidRPr="00A4268A">
      <w:pPr>
        <w:spacing w:before="240" w:line="276" w:lineRule="auto"/>
        <w:rPr>
          <w:rFonts w:eastAsia="Calibri"/>
        </w:rPr>
      </w:pPr>
      <w:r w:rsidRPr="00A4268A">
        <w:rPr>
          <w:rFonts w:eastAsia="Calibri"/>
        </w:rPr>
        <w:t>The integrated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 service integration and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healthcare assistants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diversional therapist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Residents commented positively on the meals and baking provided.  Snacks are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and product safety charts are available.  The building holds a current warrant of fitness.  All residents have a single room.  There are sufficient communal showers/toilets for all other rooms.  External areas are safe and well maintained with shade and seating available.  Fixtures, fittings and flooring are appropriate and toilet/shower facilities are constructed for ease of cleaning.  Cleaning and laundry services are monitored through the internal auditing system.  Systems and supplies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regularly receive education and training around restraint minimisation and the management of challenging behaviour.  The service has appropriate procedures and documents for the safe assessment, planning, monitoring and review of restraint and enabler.  No residents were using restraints and no residents were using enablers at the time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1"/>
        <w:gridCol w:w="1280"/>
        <w:gridCol w:w="1029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Families and residents are provided with information on admission, which includes information about the Code.  Staff receive training around resident rights at orientation and as part of the annual training programme.  Interviews with care staff; (three healthcare assistants (HCA), one registered nurse (RN), one enrolled nurse (EN), the cook, an educator and the diversional therapist (DT) confirmed their understanding of the Code.  Five residents and four relatives (three rest home level and one dementia level) interviewed, confirmed that staff respect privacy and support residents in making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resuscitation consent forms were evident on all resident files reviewed (five rest home and two dementia).  General consent forms were evident on files reviewed.  Discussions with staff confirmed that they are familiar with the requirements to obtain informed consent for entering rooms and personal care.  EPOA’s were not evident in the two files reviewed from the dementia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that the service provides opportunities for the family/EPOA to be involved in decisions.  The chaplain is identified by staff and residents as an advocate.  The resident files include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activities programme includes opportunities to attend events outside of the facility.  Residents are supported and encouraged to remain involved in the community.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complaints policy and process implemented.  Complaints forms are available.  Information about complaints is provided on admission.  Interviews with residents and relatives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An electronic complaint register includes written and verbal complaints, dates and actions taken.  A total of six complaints were logged onto the system with no complaints logged since August last year.  The service noted a trend around staff complaining about staff.  A quality improvement plan has been developed and implemented, and is currently being evaluated.  Meetings document that staff behaviour and the development of a caring culture towards each other is discussed.  Meeting minutes from 2018 also document discussion regarding resident and relative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being managed in a timely manner, meeting requirements determined by the Health and Disability Commissioner (HDC).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information pack given to prospective residents and families that includes information about the Code and the Nationwide Advocacy Service.  There is the opportunity to discuss aspects of the Code during the admission process.  Residents and relatives interviewed confirmed that information had been provided to them around the Code.  A manager discusses the information pack with residents/relatives on admission.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tour of the facility confirmed there are areas that support personal privacy for residents.  Staff were observed to be respectful of residents’ privacy by knocking on doors prior to entering resident rooms.  Residents and relatives interviewed confirmed that staff demonstrate sensitivity in regard to resident privacy and dignity and where possible, encourage the resident to be involved in their care according to their ability.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preferences are identified during the admission and care planning process and this includes family involvement.  Interviews with residents confirmed their values and beliefs were considered.  Interviews with healthcare assistants described how choice is incorporated into resident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Māori health plan and an individual values plan which includes cultural care and support   Family/whānau involvement is encouraged in assessment and care planning and visiting is encouraged.  Links are established with disability and other community representative groups as requested by the resident/family.  Cultural needs are addressed in the care plan.  There were no residents who identified as Māori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and the resident and/or whānau as appropriate are invited to be involved.  Individual beliefs or values are discussed and incorporated into the care plan.  Six-monthly multidisciplinary team meetings occur to assess if needs are being met.  Family are invited to attend.  Discussions with relatives confirmed that residents’ values and beliefs are considered.  Residents interviewed confirmed that staff take into account their values and beliefs.  Chaplaincy services have improved services and support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staff Code of Conduct which states there will be zero tolerance against any discrimination occurring.  Staff are supervised to ensure professional practice is maintained in the service.  Staff job descriptions include responsibilities.  Interviews with the managers and care staff confirmed their awareness of professional boundaries.  Healthcare assistants from the dementia unit described how they build a supportive relationship with each resident.  Interviews with a family member from the dementia unit confirmed the staff maintain a calm and supportive environment.  The training schedule included training around abuse and neglect, communication and dignity.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support from the district health board, which includes nurse specialist’s visits.  Physiotherapy services are provided on-site once a week and a physiotherapy assistant works four hours a week.  A podiatrist is on-site every six weeks.  There is a regular in-service education and training programme for staff.  The service has links with the local community and encourages residents to remain independent. </w:t>
            </w:r>
          </w:p>
          <w:p w:rsidR="00EB7645" w:rsidRPr="00BE00C7" w:rsidP="00BE00C7">
            <w:pPr>
              <w:pStyle w:val="OutcomeDescription"/>
              <w:spacing w:before="120" w:after="120"/>
              <w:rPr>
                <w:rFonts w:cs="Arial"/>
                <w:b w:val="0"/>
                <w:lang w:eastAsia="en-NZ"/>
              </w:rPr>
            </w:pPr>
            <w:r w:rsidRPr="00BE00C7">
              <w:rPr>
                <w:rFonts w:cs="Arial"/>
                <w:b w:val="0"/>
                <w:lang w:eastAsia="en-NZ"/>
              </w:rPr>
              <w:t>Evidence-based practice is evident, promoting and encouraging good practice.  Registered nursing staff are available seven days a week, 24 hours a day.  House GPs visit the facility once a week and provide an after-hours service.  The general practitioner (GP) reviews residents identified as stable every three months, with more frequent visits for those residents whose condition is not deemed stable.  The GP interviewed was satisfied with the level of care that is being provided.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high emphasis on training and employs a designated trainer.  This has resulted in a range of training to suit different learning styles, such a online, assessments/competencies, training packages and a complete review of the orientation programme.  Staff interviewed, stated that they feel very well supported though training.</w:t>
            </w:r>
          </w:p>
          <w:p w:rsidR="00EB7645" w:rsidRPr="00BE00C7" w:rsidP="00BE00C7">
            <w:pPr>
              <w:pStyle w:val="OutcomeDescription"/>
              <w:spacing w:before="120" w:after="120"/>
              <w:rPr>
                <w:rFonts w:cs="Arial"/>
                <w:b w:val="0"/>
                <w:lang w:eastAsia="en-NZ"/>
              </w:rPr>
            </w:pPr>
            <w:r w:rsidRPr="00BE00C7">
              <w:rPr>
                <w:rFonts w:cs="Arial"/>
                <w:b w:val="0"/>
                <w:lang w:eastAsia="en-NZ"/>
              </w:rPr>
              <w:t>Quality data is benchmarked through an outside agency.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entering an incident into the system.  All 10 incident reports reviewed for February 2019 met this requirement.  Family members interviewed confirmed they are notified following a change of health status of their family member.  There is an interpreter policy in place and contact details of interpreters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Thorrington Village is owned by Archer Group who own one other care facility and another village.  The service provides dementia and rest home level care for up to 45 residents and rest home level care for up to a further 13 residents in studios under license to occupy arrangements.  On the day of the audit there were 37 residents including 10 residents in the dementia unit (named memory support unit) and 27 rest home residents including; one respite resident and one funded through the long-term support - chronic health conditions (LTS-CHC) who was also under 65 years old.  There were no rest home level funded residents in the license to occupy serviced apartments.</w:t>
            </w:r>
          </w:p>
          <w:p w:rsidR="00EB7645" w:rsidRPr="00BE00C7" w:rsidP="00BE00C7">
            <w:pPr>
              <w:pStyle w:val="OutcomeDescription"/>
              <w:spacing w:before="120" w:after="120"/>
              <w:rPr>
                <w:rFonts w:cs="Arial"/>
                <w:b w:val="0"/>
                <w:lang w:eastAsia="en-NZ"/>
              </w:rPr>
            </w:pPr>
            <w:r w:rsidRPr="00BE00C7">
              <w:rPr>
                <w:rFonts w:cs="Arial"/>
                <w:b w:val="0"/>
                <w:lang w:eastAsia="en-NZ"/>
              </w:rPr>
              <w:t>Thorrington Village has a strategic plan and business 2019 to 2020.  The plan reflects the special character of faith-based care and to create a culture of respect and treating others well.  A quality plan and annual goals are documented and reviewed though the quality process.  Data such and incidents and accidents and Internal audits are discussed at meetings and reported monthly to the board and general manager.</w:t>
            </w:r>
          </w:p>
          <w:p w:rsidR="00EB7645" w:rsidRPr="00BE00C7" w:rsidP="00BE00C7">
            <w:pPr>
              <w:pStyle w:val="OutcomeDescription"/>
              <w:spacing w:before="120" w:after="120"/>
              <w:rPr>
                <w:rFonts w:cs="Arial"/>
                <w:b w:val="0"/>
                <w:lang w:eastAsia="en-NZ"/>
              </w:rPr>
            </w:pPr>
            <w:r w:rsidRPr="00BE00C7">
              <w:rPr>
                <w:rFonts w:cs="Arial"/>
                <w:b w:val="0"/>
                <w:lang w:eastAsia="en-NZ"/>
              </w:rPr>
              <w:t>Thorrington Village is managed by an experienced village/quality manager who has been in the role since 2015.  He is supported by a clinical nurse manager/registered nurse (RN), who has been in the role for two years.  They are supported by the general manager for the Archer Group.</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nurse manager have maintained at least eight hours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supported by the general manager cover during the temporary absence of the village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established quality and risk management system is embedded into practice.  Quality and risk performance is reported across facility meetings and to the general manager and board.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monthly.  Minutes are maintained.  An annual resident and relative survey was in the process of being undertaken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The service's policies are reviewed by an external consultant who provides the policies, procedures and the quality programme for the service.  Clinical guidelines are in place to assist care staff.  </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 of service delivery in the facility.  There are clear guidelines and templates for reporting.  The facility has implemented established processes to collect, analyse and evaluate data.  This is utilised for service improvements; action plans are developed when service shortfalls are identified, and these are monitored by group office.  Results are communicated to staff at the monthly staff/quality/risk meetings and reflect actions being implemented and signed off when completed.  Communication to staff is enhanced by daily briefings as well as handovers.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through the quality/risk meetings, weekly clinical meetings, management meetings and through board meetings.  Risk management, hazard control and emergency policies and procedures are in place.  A health and safety representative was interviewed about the health and safety programme.  There are procedures to guide staff in managing clinical and non-clinical emergencies.  The service documents and analyses incidents/accidents, unplanned or untoward events and provides feedback to the service and staff so that improvements are made.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(but not limited to): individual and group exercise programme; meeting individual toileting needs; sensor mats; increased monitoring; identification and meeting of individual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Individual incident/accident reports are completed on the electronic system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ten incident/accident forms identified that forms are fully completed and include follow-up by a registered nurse.  However, neurological observations were not evidenced to be consistently completed for unwitnessed falls as per policy (link 1.3.6.1).  </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and village manager were able to identify situations that would be reported to statutory authorities.  No notifications have been sent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 place.  Eight staff files reviewed (the village/quality manager, the clinical nurse manager, one registered nurse, the cook the diversional therapist and three healthcare assistants) included a recruitment process including: reference checking, signed employment contracts and job descriptions, completed orientation programmes and annual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provides new staff with relevant information for safe work practice.  There is an implemented annual education and training plan that exceeds eight hours annually.  The training plan is implemented using a variety of methods including ‘train the trainer’ model, on-line learning and traditional training.  Staff are paid to attend training.  Incidental training is provided according to identified need and at staff request.  There is an attendance register for each training session and an individual staff member record of training.</w:t>
            </w:r>
          </w:p>
          <w:p w:rsidR="00EB7645" w:rsidRPr="00BE00C7" w:rsidP="00BE00C7">
            <w:pPr>
              <w:pStyle w:val="OutcomeDescription"/>
              <w:spacing w:before="120" w:after="120"/>
              <w:rPr>
                <w:rFonts w:cs="Arial"/>
                <w:b w:val="0"/>
                <w:lang w:eastAsia="en-NZ"/>
              </w:rPr>
            </w:pPr>
            <w:r w:rsidRPr="00BE00C7">
              <w:rPr>
                <w:rFonts w:cs="Arial"/>
                <w:b w:val="0"/>
                <w:lang w:eastAsia="en-NZ"/>
              </w:rPr>
              <w:t>There are twenty staff including the DT who regularly works in the dementia unit.  Eighteen staff have completed the required NZQA dementia education modules and two staff who have been employed in the last three months, are enrolled on the Careerforce programme including the second DT.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Two of two permanent registered nurses have completed their interRAI training.  There are implemented competencies for registered nurses.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is in place for determining staffing levels and skills mix for safe service delivery.  The service has a clinical nurse manager and a village manager Monday to Friday and on call.  There is a second RN on five days a week with an additional EN on four days a week.</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staffing for ten residents;</w:t>
            </w:r>
          </w:p>
          <w:p w:rsidR="00EB7645" w:rsidRPr="00BE00C7" w:rsidP="00BE00C7">
            <w:pPr>
              <w:pStyle w:val="OutcomeDescription"/>
              <w:spacing w:before="120" w:after="120"/>
              <w:rPr>
                <w:rFonts w:cs="Arial"/>
                <w:b w:val="0"/>
                <w:lang w:eastAsia="en-NZ"/>
              </w:rPr>
            </w:pPr>
            <w:r w:rsidRPr="00BE00C7">
              <w:rPr>
                <w:rFonts w:cs="Arial"/>
                <w:b w:val="0"/>
                <w:lang w:eastAsia="en-NZ"/>
              </w:rPr>
              <w:t>An RN or EN visits each day as well as the clinical nurse manager.  Staff reported that they feel supported by the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There is one healthcare assistant on long and one on a short shift for the AM and the PM shifts and one healthcare assistant on nights.</w:t>
            </w:r>
          </w:p>
          <w:p w:rsidR="00EB7645" w:rsidRPr="00BE00C7" w:rsidP="00BE00C7">
            <w:pPr>
              <w:pStyle w:val="OutcomeDescription"/>
              <w:spacing w:before="120" w:after="120"/>
              <w:rPr>
                <w:rFonts w:cs="Arial"/>
                <w:b w:val="0"/>
                <w:lang w:eastAsia="en-NZ"/>
              </w:rPr>
            </w:pPr>
            <w:r w:rsidRPr="00BE00C7">
              <w:rPr>
                <w:rFonts w:cs="Arial"/>
                <w:b w:val="0"/>
                <w:lang w:eastAsia="en-NZ"/>
              </w:rPr>
              <w:t>The rest home is divided into two wings, jointly the two wings have the following staffing for 27 residents; two healthcare assistants in the AM plus the healthcare assistant from the serviced apartments available to assist.  The PM staffing includes two healthcare assistants on long shift and one healthcare assistant on short shift.  The night has two healthcare assistants.</w:t>
            </w:r>
          </w:p>
          <w:p w:rsidR="00EB7645" w:rsidRPr="00BE00C7" w:rsidP="00BE00C7">
            <w:pPr>
              <w:pStyle w:val="OutcomeDescription"/>
              <w:spacing w:before="120" w:after="120"/>
              <w:rPr>
                <w:rFonts w:cs="Arial"/>
                <w:b w:val="0"/>
                <w:lang w:eastAsia="en-NZ"/>
              </w:rPr>
            </w:pPr>
            <w:r w:rsidRPr="00BE00C7">
              <w:rPr>
                <w:rFonts w:cs="Arial"/>
                <w:b w:val="0"/>
                <w:lang w:eastAsia="en-NZ"/>
              </w:rPr>
              <w:t>Staff were visible and were attending to call bells in a timely manner as confirmed by all residents interviewed.  Residents and family members interviewed reported there are sufficient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are protected from unauthorised access.  Entries are legible, dated and signed by the relevant caregiver or nurse including designation.  Individual resident files demonstrate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information pack available for residents/families at entry, there is dementia specific information available.  The admission agreements reviewed meet the requirements of the ARCC contract.  Exclusions from the service are included in the admission agreement.  All seven admission agreements sighted were signed and dated.  Not all residents in the dementia unit had an EPOA on file (link 1.1.10.4).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policies and processes are documented.  Prior to entry all potential residents have a needs assessment completed by the needs assessment and coordination service to assess suitability for entry to the service.  Residents receive an information pack outlining the services able to be provided, the admission process and entry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they received information prior to admission and had the opportunity to discuss the admission agreement with the care home manager or clinical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All relevant information is documented and communicated to the receiving health provider or service.  A transfer form accompanies residents to receiving facilities and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two residents self-administering on the day of audit.  There are no standing orders in use.  There are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an electronic and blister pack system.  Medications are checked on arrival and any pharmacy errors are recorded and fed back to the supplying pharmacy.  Medications are administered by the RN or senior medication competent HCAs.  Medication education has been completed in the last year.  The medication fridge temperature is checked daily.  All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Fourteen medication charts were reviewed (including one respite and long-term chronic care).  Medications are reviewed at least three monthly by the GP.  There was photo identification and allergy status recorded.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one hospitality supervisor who works 0730-1600 Tuesday to Saturday and another cook who works the same hours Sunday to Monday.  There is one kitchenhand in the morning and two in the afternoon.  All have current food safety certificates.  The hospitality supervisor oversees the procurement of the food and management of the kitchen.  There is a well-equipped kitchen and all meals are cooked on site.  Meals are served directly from the kitchen to the dining rooms.  As the dining rooms are small there are two sittings.  Meals going to rooms on trays have covers to keep the food warm.  Special equipment such as lipped plates is available.  On the day of audit, meals were observed to be hot and well-presented and residents stated that they were enjoying their meal.  There is a kitchen manual and a range of policies and procedures to safely manage the kitchen and meal services.  Audits are implemented to monitor performance.  Kitchen fridge and freezer temperatures were monitored and recorded daily.  Food temperatures are checked, and these were all within safe limits.  The residents have a nutritional profile developed on admission which identifies dietary requirements and likes and dislikes.  This is reviewed six monthly as part of the care plan review.  Changes to residents’ dietary needs have been communicated to the kitchen.  Special diets and likes and dislikes were noted on a whiteboard.  The four-weekly menu cycle is approved by a dietitian.  Snacks are available at all times.  All residents and family members interviewed were satisfied with the meals. </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was approved on the 23 August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residents should this occur and communicates this to residents/family/whānau.  Anyone declined entry is referred to the needs assessment service or referring agency for appropriate placement and advice.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InterRAI assessments had been completed for all six long-term residents whose files were sampled.  Other assessments tools in use were falls risk, pressure injury risk, continence and nutrition.  Care plans sampled were developed on the basis of these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All care plans are resident-centred.  Interventions documented support needs and provide detail to guide care.  Short-term care plans are in use for changes in health status.  Residents and relatives interviewed stated that they were involved in the care planning process.  There was evidence of service integration with documented input from a range of specialist care professionals including the podiatrist, wound care specialist (one chronic wound) and mental health care team for older people.  The care staff interviewed advised that the care plans were easy to follow, and guidelines were clear.  The respite resident had a short stay care plan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registered nurse initiates a GP consultation.  Staff stated that they notify family members about any changes in their relative’s health status.  All care plans sampled had interventions documented to meet the needs of the resident.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accident forms and written in the progress notes.  Neurological observations were not always consistently completed for unwitnessed falls or falls where residents hit their heads.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clinical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evaluation forms are in place for all wounds.  Wound monitoring occurs as planned.  There are currently four wounds being treated.  One chronic wound (non-facility acquired) has had input from the GP and wound care specialist.  The resident attends a hospital clinic two weekly for a vac dressing.  There are no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are in use as applicable such as weight, vital signs and wounds.  Behaviour charts are available for any residents that exhibit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diversional therapist who oversees the activities programme for the Archer sites.  The facility also has a diversional therapist and a social coordinator.  Both work sixteen hours a week Monday to Friday.  There is also a pool of volunteers.  On the day of audit residents were observed taking part in a church service, participating in exercises, going on a van outing and enjoying interacting with visiting schoolchildren.  </w:t>
            </w:r>
          </w:p>
          <w:p w:rsidR="00EB7645" w:rsidRPr="00BE00C7" w:rsidP="00BE00C7">
            <w:pPr>
              <w:pStyle w:val="OutcomeDescription"/>
              <w:spacing w:before="120" w:after="120"/>
              <w:rPr>
                <w:rFonts w:cs="Arial"/>
                <w:b w:val="0"/>
                <w:lang w:eastAsia="en-NZ"/>
              </w:rPr>
            </w:pPr>
            <w:r w:rsidRPr="00BE00C7">
              <w:rPr>
                <w:rFonts w:cs="Arial"/>
                <w:b w:val="0"/>
                <w:lang w:eastAsia="en-NZ"/>
              </w:rPr>
              <w:t>There is a weekly programme in large print on noticeboards in the lounges and hallways.  Residents have the choice of a variety of activities in which to participate, and every effort is made to ensure activities are meaningful and tailored to residents’ needs.  These include exercises, games, quizzes, movies, crafts and walks outside.  Happy hour is every Friday.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Those residents who prefer to stay in their room or who need individual attention have one-on-one visits to check if there is anything they need and to have a chat.  Most residents were out of their rooms. </w:t>
            </w:r>
          </w:p>
          <w:p w:rsidR="00EB7645" w:rsidRPr="00BE00C7" w:rsidP="00BE00C7">
            <w:pPr>
              <w:pStyle w:val="OutcomeDescription"/>
              <w:spacing w:before="120" w:after="120"/>
              <w:rPr>
                <w:rFonts w:cs="Arial"/>
                <w:b w:val="0"/>
                <w:lang w:eastAsia="en-NZ"/>
              </w:rPr>
            </w:pPr>
            <w:r w:rsidRPr="00BE00C7">
              <w:rPr>
                <w:rFonts w:cs="Arial"/>
                <w:b w:val="0"/>
                <w:lang w:eastAsia="en-NZ"/>
              </w:rPr>
              <w:t>There is a weekly church service.  The facility has a chaplain who works 20 hours a week.  Catholics have a lay volunteer who comes in to give communion (link 1.1.6).</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twice weekly van outings.  There are regular entertainers visiting the facility.  Special events like birthdays, Easter, Mothers’ Day, Anzac Day, St Patricks Day and Valentine’s Day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family dogs visit regularly.  One rest home resident has a cat and there is a cat in the memory support unit.  </w:t>
            </w:r>
          </w:p>
          <w:p w:rsidR="00EB7645" w:rsidRPr="00BE00C7" w:rsidP="00BE00C7">
            <w:pPr>
              <w:pStyle w:val="OutcomeDescription"/>
              <w:spacing w:before="120" w:after="120"/>
              <w:rPr>
                <w:rFonts w:cs="Arial"/>
                <w:b w:val="0"/>
                <w:lang w:eastAsia="en-NZ"/>
              </w:rPr>
            </w:pPr>
            <w:r w:rsidRPr="00BE00C7">
              <w:rPr>
                <w:rFonts w:cs="Arial"/>
                <w:b w:val="0"/>
                <w:lang w:eastAsia="en-NZ"/>
              </w:rPr>
              <w:t>There is community input from pre-schools, schools, and a monthly library visit.  One resident goes out weekly to a friendship group.  The facility also visits other Archer facilities for bowls tournaments.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activity plan is based on this assessment.  Activity plans are evaluated at least six monthly and the diversional therapist is currently liaising with the RNs so that this is at the same time as the review of the long-term care plan.  Resident meetings are held bi-monthly.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six long-term care plans reviewed had been evaluated by the registered nurse six monthly or when changes to care occurs.  Short-term care plans for short-term needs are evaluated and signed off as resolved or added to the long-term care plan as an ongoing problem.  Activities plans are in place for each of the residents and these are also evaluated six monthly.  The multidisciplinary review involves the RN, GP and resident/family if they wish to attend.  There are three monthly reviews by the GP for all residents.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wound care nurse specialist and mental health services for older people.  Discussion with the registered nurse identified that the service has access to a wide range of support either through the GP, specialists and allied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datasheets and product sheets are available.  One sharps container is available and meets the hazardous substances regulations for containers.  The hazard register identifies hazardous substances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expires 1 July 2019.  There is a property manager who manages all Archer sites.  There is a maintenance person on site for 20 hours a week.  Contractors are used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scales are checked annually.  Hot water temperatures have been monitored randomly in resident areas and were within the acceptable range.  The communal lounges, hallways and bedrooms are carpeted in both the rest home and memory support unit.  The utility areas such as the kitchen and laundry have vinyl flooring.  Communal showers and all toilets have nonslip vinyl flooring.  All corridors have safety rails and promote safe mobility with the use of mobility aids.  Residents were observed moving freely around the areas with mobility aids where required.  The external areas and gardens were well maintained.  There is currently scaffolding in some garden areas (due to painting the exterior of the facility including the roof) but all these areas are safely fenced and signposted.  All outdoor areas have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dementia unit is designed so that space and seating arrangements provide for individual and group activities.  There are quiet, low stimulus areas and seating alcoves that provide privacy when required.  There is a safe and secure outside walking and garden area, which is easy for dementia residents to access.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There are sufficient numbers of toilets and bathrooms for the number of residents in the rest home and in the separate dementia unit.  Privacy is maximised in both care settings.  Fixtures, fittings and flooring are appropriate.  Toilet/shower facilities are easy to clean.  There is ample space in toilet and shower areas to accommodate shower chairs if required.  There are privacy signs on all shower/toilet doors.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30 single rooms.  There is sufficient space to allow care to be provided and for the safe use of mobility equipment.  Staff interviewed reported that they have more than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Activities occur in the larger areas and the smaller areas are spaces where residents who prefer quieter activities or visitors may sit.  The dining rooms in each area are small so there are two sittings at each meal.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by a laundry worker who works 0730-1600 Monday to Friday and one who works the same hours Saturday and Sunday.  The laundry is divided into a ‘dirty’ and ‘clean’ area.  There is a laundry and cleaning manual.  Cleaning and laundry services are monitored through the internal auditing system.  The cleaners’ equipment was attended at all times or locked away.  All cleaning chemicals were labelled.  There is no sluice room.  Disposal of soiled water and the sluicing of soiled linen are completed in the ‘dirty’ area of the laundry if required.  The laundry is kept locked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emergency/civil defence management plan complies with all applicable statutory requirements.  It continues to be reviewed and improved as necessary.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approved evacuation plan.  The last fire evacuation drill was held March 2019.  The trial evacuation report letter was sighted.  Staff attendance is recorded in the training records.  </w:t>
            </w:r>
          </w:p>
          <w:p w:rsidR="00EB7645" w:rsidRPr="00BE00C7" w:rsidP="00BE00C7">
            <w:pPr>
              <w:pStyle w:val="OutcomeDescription"/>
              <w:spacing w:before="120" w:after="120"/>
              <w:rPr>
                <w:rFonts w:cs="Arial"/>
                <w:b w:val="0"/>
                <w:lang w:eastAsia="en-NZ"/>
              </w:rPr>
            </w:pPr>
            <w:r w:rsidRPr="00BE00C7">
              <w:rPr>
                <w:rFonts w:cs="Arial"/>
                <w:b w:val="0"/>
                <w:lang w:eastAsia="en-NZ"/>
              </w:rPr>
              <w:t>Civil defence equipment and resources are available, and this was discussed with the village manager.  The facility has back-up lighting, power and sufficient food, water and personal supplies to provide for its maximum number of residents in the event of a power outage/civil defence emergency.  A gas barbeque is also available.</w:t>
            </w:r>
          </w:p>
          <w:p w:rsidR="00EB7645" w:rsidRPr="00BE00C7" w:rsidP="00BE00C7">
            <w:pPr>
              <w:pStyle w:val="OutcomeDescription"/>
              <w:spacing w:before="120" w:after="120"/>
              <w:rPr>
                <w:rFonts w:cs="Arial"/>
                <w:b w:val="0"/>
                <w:lang w:eastAsia="en-NZ"/>
              </w:rPr>
            </w:pPr>
            <w:r w:rsidRPr="00BE00C7">
              <w:rPr>
                <w:rFonts w:cs="Arial"/>
                <w:b w:val="0"/>
                <w:lang w:eastAsia="en-NZ"/>
              </w:rPr>
              <w:t>Staff are responsible for checking the facility for security purposes on the afternoon and night shifts.  The memory support unit is keypad accessed by staff and family.  External lighting and security systems are adequate for safety and security.</w:t>
            </w:r>
          </w:p>
          <w:p w:rsidR="00EB7645" w:rsidRPr="00BE00C7" w:rsidP="00BE00C7">
            <w:pPr>
              <w:pStyle w:val="OutcomeDescription"/>
              <w:spacing w:before="120" w:after="120"/>
              <w:rPr>
                <w:rFonts w:cs="Arial"/>
                <w:b w:val="0"/>
                <w:lang w:eastAsia="en-NZ"/>
              </w:rPr>
            </w:pPr>
            <w:r w:rsidRPr="00BE00C7">
              <w:rPr>
                <w:rFonts w:cs="Arial"/>
                <w:b w:val="0"/>
                <w:lang w:eastAsia="en-NZ"/>
              </w:rPr>
              <w:t>The nurse call system is appropriate for the size of the facility and call bells are accessible in rooms, communal showers and toilets.</w:t>
            </w:r>
          </w:p>
          <w:p w:rsidR="00EB7645" w:rsidRPr="00BE00C7" w:rsidP="00BE00C7">
            <w:pPr>
              <w:pStyle w:val="OutcomeDescription"/>
              <w:spacing w:before="120" w:after="120"/>
              <w:rPr>
                <w:rFonts w:cs="Arial"/>
                <w:b w:val="0"/>
                <w:lang w:eastAsia="en-NZ"/>
              </w:rPr>
            </w:pPr>
            <w:r w:rsidRPr="00BE00C7">
              <w:rPr>
                <w:rFonts w:cs="Arial"/>
                <w:b w:val="0"/>
                <w:lang w:eastAsia="en-NZ"/>
              </w:rPr>
              <w:t>There is a minimum of one person who is available 24 hours a day, seven days a week with a current first aid/CPR certificate.  The person who drives the van also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electrical.  They are currently introducing heat pumps.  Staff and residents interviewed stated that this is effective.  There is an outdoor area where residents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Thorrington Village has a fully implemented infection control programme in place.  The infection control programme, its content and detail, is appropriate for the size, complexity and degree of risk associated with the service.  It is linked into the incident reporting system and benchmarked with other similar facilities.  The clinical nurse manager is the designated infection control nurse and has access to the DHB infection control nurse and microbiologist.  Audits have been conducted and include hand hygiene, infection control practices in the laundry and cleaning service.  Education is provided for all new staff on orientation.  Staff interviewed stated they had adequate supplies of personal protective equipment (PPE).  The infection control programme is reviewed annually by the external consultant.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is the infection control nurse and is aware of the need to analyse data and the reasons behind this.  The infection control data is entered into the electronic system and reviewed monthly by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for the size and complexity of the organisation.  The IC nurse has good external support from the local laboratory infection control team and IC nurse specialist at the DHB.  The infection control team is representative of the facility.  Infection prevention and control is included as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and procedures are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were developed by an external consultant and have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nurse has completed infection control training.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infection control manual.  Monthly infection data is collected for all infections based on signs and symptoms of infection.  Surveillance of all infections is entered on to a monthly infection summary.  This data is monitored and evaluated monthly and annually.  Infections are part of the key performance indicators.  Outcomes and actions are discussed at quality/staff meetings.  If there is an emergent issue, it is acted upon in a timely manner.  Reports are easily accessible.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Restraint minimisation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using enablers and no residents with restraints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74"/>
        <w:gridCol w:w="1280"/>
        <w:gridCol w:w="4800"/>
        <w:gridCol w:w="3259"/>
        <w:gridCol w:w="172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1.1.10.4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able to demonstrate that written consent is obtained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files reviewed included a NASC assessment and approval for the level of care including two resident files reviewed in the dementia unit.  EPOA’s were not evident in the two files reviewed from the dementia unit.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two resident files reviewed in the memory support unit (dementia unit) did not have enduring powers of attorney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enduring powers of attorney are obtained and activated for residents in the dementia unit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HCAs and RNs could describe the incident and accident process and they ensure all incidents are reported.  Progress notes and incident forms document RN follow-up post falls; however, neurological observations were not always documented according to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Of four falls related incident forms where the resident had recorded a blow to the head; three did not document the neurological observation according to the set timeframes in the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neurological observations are documented according to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52"/>
        <w:gridCol w:w="1280"/>
        <w:gridCol w:w="3351"/>
        <w:gridCol w:w="61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1.1.6.2</w:t>
            </w:r>
          </w:p>
          <w:p w:rsidR="00EB7645" w:rsidRPr="00BE00C7" w:rsidP="00BE00C7">
            <w:pPr>
              <w:pStyle w:val="OutcomeDescription"/>
              <w:spacing w:before="120" w:after="120"/>
              <w:rPr>
                <w:rFonts w:cs="Arial"/>
                <w:b w:val="0"/>
                <w:lang w:eastAsia="en-NZ"/>
              </w:rPr>
            </w:pPr>
            <w:r w:rsidRPr="00BE00C7">
              <w:rPr>
                <w:rFonts w:cs="Arial"/>
                <w:b w:val="0"/>
                <w:lang w:eastAsia="en-NZ"/>
              </w:rPr>
              <w:t>The consumer and when appropriate and requested by the consumer the family/whānau of choice or other representatives, are consulted on their individual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Archer Care, Thorrington Village was founded with a Christian belief and set of values, and welcomes everyone from all walks of life.  The chaplains have an embedded continued improvement process of offering pastoral care to the residents and their family who requests this.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Thorrington Village, as part of their faith-based culture aim to provide support and pastoral care to all the residents and family members who reside in the home.  Chaplaincy services are rostered for 20 hours a week and provide on call services.  On the day of audit, the chaplaincy service was providing additional support in the wake of recent Christchurch events, this included a special service and one-on-one support to some residents who required additional assistance.</w:t>
            </w:r>
          </w:p>
          <w:p w:rsidR="00EB7645" w:rsidRPr="00BE00C7" w:rsidP="00BE00C7">
            <w:pPr>
              <w:pStyle w:val="OutcomeDescription"/>
              <w:spacing w:before="120" w:after="120"/>
              <w:rPr>
                <w:rFonts w:cs="Arial"/>
                <w:b w:val="0"/>
                <w:lang w:eastAsia="en-NZ"/>
              </w:rPr>
            </w:pPr>
            <w:r w:rsidRPr="00BE00C7">
              <w:rPr>
                <w:rFonts w:cs="Arial"/>
                <w:b w:val="0"/>
                <w:lang w:eastAsia="en-NZ"/>
              </w:rPr>
              <w:t>The regular services and one-on-one counselling have been welcomed by residents and their families, and this was evidenced through meeting minutes and also a range of ‘thank you cards’.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infection reports are completed, and any trends identified are discussed at the clinical and infection control meetings.  Infection control results and data are reviewed, and a quality improvement plan is developed for any trends identified and communicated to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benchmarks infections and compared against an industry norm.  The service noted that urinary tract infections had been above the higher limit for November.  An action plan was documented.  This is included an emphasis on education for staff and also for residents.  Additional fluid rounds were commenced.  The UTIs have reduced since November with a continued downward trend and have remained less than the industry norm since, with only two (per occupied bed day) for February 2019.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Thorrington Village Limited - Thorrington Village</w:t>
    </w:r>
    <w:bookmarkEnd w:id="58"/>
    <w:r>
      <w:rPr>
        <w:rFonts w:cs="Arial"/>
        <w:sz w:val="16"/>
        <w:szCs w:val="20"/>
      </w:rPr>
      <w:tab/>
      <w:t xml:space="preserve">Date of Audit: </w:t>
    </w:r>
    <w:bookmarkStart w:id="59" w:name="AuditStartDate1"/>
    <w:r>
      <w:rPr>
        <w:rFonts w:cs="Arial"/>
        <w:sz w:val="16"/>
        <w:szCs w:val="20"/>
      </w:rPr>
      <w:t>21 March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