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Cashmere Hospital (16 &amp; 51 Helston road)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Cashmere Hospital (51 Helston Road)||Cashmere Hospital (16 Helston Road)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April 2019</w:t>
      </w:r>
      <w:bookmarkEnd w:id="7"/>
      <w:r w:rsidRPr="009418D4">
        <w:rPr>
          <w:rFonts w:cs="Arial"/>
        </w:rPr>
        <w:tab/>
        <w:t xml:space="preserve">End date: </w:t>
      </w:r>
      <w:bookmarkStart w:id="8" w:name="AuditEndDate"/>
      <w:r w:rsidR="00A4268A">
        <w:rPr>
          <w:rFonts w:cs="Arial"/>
        </w:rPr>
        <w:t>12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39 </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PSC Cashmere Hospital is part of the Presbyterian Support Central organisation and provides rest home and hospital (geriatric and medical) level care for up to 40 residents.  On the day of audit there were 39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 facility manager, who is a registered nurse and well qualified and experienced for the role.  The facility manager is supported by a regional manager, clinical nurse manager and clinical coordinator.  Residents and the GP interviewed spoke positively about the service provided.</w:t>
      </w:r>
    </w:p>
    <w:p w:rsidRPr="00A4268A">
      <w:pPr>
        <w:spacing w:before="240" w:line="276" w:lineRule="auto"/>
        <w:rPr>
          <w:rFonts w:eastAsia="Calibri"/>
        </w:rPr>
      </w:pPr>
      <w:r w:rsidRPr="00A4268A">
        <w:rPr>
          <w:rFonts w:eastAsia="Calibri"/>
        </w:rPr>
        <w:t>The service is commended for achieving a continued improvement rating around the activity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PSC Cashmere provides care in a way that focuses on the individual resident.  There is cultural safety policy supporting practice.  Cultural assessment is undertaken on admission and during the review processes.  The service functions in a way that complies with the Health and Disability Commissioner Code of Health and Disability Services Consumers' Rights (the Code).  Information about the Code and related services is readily available to residents and families.  Care plans accommodate the choices of residents and/or their family.  Complaints processes are implemented, and complaints and concerns are managed and documented.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PSC Cashmere is implementing the Presbyterian Support Services quality and risk management system that supports the provision of clinical care.  Key components of the quality management system link to a number of meetings including fortnightly senior team meetings.  An annual resident satisfaction survey is completed and there are regular resident meetings.  Quality performance is reported to staff at meetings and includes a summary of incidents, infections and internal audit results.  There are human resources policies including recruitment, selection, orientation and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Cashmere Home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There is a three-monthly general practitioner review.  </w:t>
      </w:r>
    </w:p>
    <w:p w:rsidRPr="00A4268A" w:rsidP="00621629">
      <w:pPr>
        <w:spacing w:before="240" w:line="276" w:lineRule="auto"/>
        <w:rPr>
          <w:rFonts w:eastAsia="Calibri"/>
        </w:rPr>
      </w:pPr>
      <w:r w:rsidRPr="00A4268A">
        <w:rPr>
          <w:rFonts w:eastAsia="Calibri"/>
        </w:rPr>
        <w:t xml:space="preserve">The residents’ activities programme provided by the recreation team is varied and includes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3 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Cashmere Home has a current building warrant of fitness.  The service has policies and procedures in place for fire, civil defence and other emergencies.  Rooms were individualised.  External areas were safe and well maintained.  Residents can freely mobilise within the communal areas with safe access to the outdoors.  There is wheelchair access to all areas.  Chemicals were stored safely throughout the facility.  Appropriate policies are available along with product safety charts.  Appropriate training, information and equipment for responding to emergencies are provided.  Housekeeping staff maintain a clean and tidy environment.  Toilet/shower facilities are constructed for ease of cleaning.  All laundry is completed at Cashmere Home.  There are documented processes for the management of waste and hazardous substances in place, and incidents are reported in a timely manner.  A van is available for transportation of residents.  The temperature of the facility was comfortable and able to be adjusted in resident’s rooms.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PSC Cashmere Home has restraint minimisation and safe practice policies and procedures in place.  Staff receive training in restraint minimisation and challenging behaviour management.  On the day of audit, there were two residents with restraint and three residents with an enabler.  Restraint and enabler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the ongoing in-service education programme.  The type of surveillance undertaken is appropriate to the size and complexity of the site.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5"/>
        <w:gridCol w:w="1280"/>
        <w:gridCol w:w="92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Services Consumer Rights (the Code) has been incorporated into care.  Discussions with three healthcare assistants identified their familiarity with the Code of Rights.  Discussion with four residents (one rest home and three hospital including one younger resident under a residential disability contract) and four family members (three hospital and one rest home) confirmed that the service functions in a way that complies with the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for informed consent policies/procedures and resuscitation are in place.  General consents and specific consents where applicable were obtained on admission and updated as required.  These were sighted in the residents’ files reviewed.  Resuscitation plans were appropriately signed.  Copies of enduring power of attorney (EPOA) for care and welfare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Interviews with healthcare assistants, residents and relatives informed they were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Discussion with staff, relatives and residents confirmed residents are supported and encouraged to remain involved in the community and external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resident/family.  The facility manager leads the investigation and management of complaints (verbal and written).  There is a complaints’ register that records activity.  Complaint forms are visible around the facility.  For the period October 2017 to day of audit there had been five formalised complaints.  Follow-up letters, investigation and outcome was documented.  Discussion with residents and relatives confirmed they were aware of how to make a complaint.  A complaints procedure is provided to residents within the information pack at entry.  On audit, one of the complainants (family member) was interviewed and expressed they ‘were happy with the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Code of Rights leaflets are available in the front entrance foyer and throughout the facility.  Code of Rights posters are on the walls in the hallways.  Client right to access advocacy services is identified for residents, and advocacy service leaflets are available at the front entrance.  Information is also given to next of kin or enduring power of attorney (EPOA) to read to and discuss with the resident in private.  Residents and families are informed of the scope of services and any liability for payment for items not included in the scope.  There is a chaplain who is on the site for ten hours a week and undertakes the role of advocate if residents/family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PSC Cashmere Home confirmed there is the ability to support personal privacy for residents.  Staff were observed to be respectful of residents’ personal privacy by knocking on doors prior to entering resident rooms during the audit.  Residents and families interviewed confirmed that staff are respectful, caring and maintain their dignity, independence and privacy at all times.  The home adheres to the ten Eden principles which it has achieved.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and procedures for the provision of culturally safe care for residents identifying as Māori.  Specialist advice is available and sought when necessary.  The service's philosophy results in each person's cultural needs being considered individually.  On the day of the audit there were no residents that identified as Māori within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responsiveness policy guides staff in the provision of culturally safe care.  During the admission process, the clinical nurse manager or clinical coordinator, along with the resident and family/whānau complete the documentation.  Regular reviews were evident and the involvement of family/whānau was recorded in the resident care plan.  Residents and family interviewed feel that they are involved in decision making around the care of the resident.  Families are actively encouraged to be involved in their relative's care in whatever way they want and are able to visit at any time of the day.  Spiritual and pastoral care is an integral part of service provision.  On audit it was noted there was marked knowledge and respect by staff of the cultures of the residents they had in the home – these included (but not limited to) Samoan, Fijian, Italian, Indian and Scottish.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discrimination, coercion, exploitation and harassment policy and procedures in place.  Code of Conduct and position descriptions outline staff responsibilities in terms of providing a discrimination-free environment.  The Code of Rights is included in orientation and in-service training.  Training is provided as part of the staff training and education plan.  Interviews with staff confirmed their understanding of discrimination and exploitation and could describe how professional boundaries are maintained.  Discussions with residents identified that privacy is ensured.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The resident satisfaction survey reflects high levels of satisfaction with the services that are provided.  Residents interviewed spoke very positively about the care and support provided.  Staff interviewed had a sound understanding of principles of aged care and stated that they feel supported by the management team.  The importance of teamwork and communication has been embedded in the Eden culture through their processes and behaviours.  Cashmere Home was awarded ten Eden principles in 2015 and there was evidence they remain embedded in the service.  All RN`s have completed interRAI.  Quality improvement initiatives are in progress for falls reduction and infection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and relatives interviewed stated they were welcomed on entry and were given time and explanation about the services and procedures.  Accident/incident forms (data is loaded onto the PSC GOSH electronic data system) have a section to indicate if family have been informed (or not) of an accident/incident.  Fifteen incident forms reviewed from March 2019 identified family were notified following a resident incident.  Interviews with healthcare assistants stated family are kept informed.  Relatives interviewed confirmed they were notified of any changes in their family member’s health status.  Discussions with residents and family members confirmed they were given time and explanation about services on admission.  Resident meetings occur two to three times a year (the meetings are chaired by the chaplain).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Cashmere Home is part of the Presbyterian Support Central organisation (PSC) and provides rest home and hospital (geriatric/medical) level care services.  Cashmere Home has a 40-bed capacity and occupancy on the day of audit was 39 (3 rest home and 36 hospital including one resident under the ACC contract and two residents on the Young People with Disabilities (YPD) contract.    </w:t>
            </w:r>
          </w:p>
          <w:p w:rsidR="00EB7645" w:rsidRPr="00BE00C7" w:rsidP="00BE00C7">
            <w:pPr>
              <w:pStyle w:val="OutcomeDescription"/>
              <w:spacing w:before="120" w:after="120"/>
              <w:rPr>
                <w:rFonts w:cs="Arial"/>
                <w:b w:val="0"/>
                <w:lang w:eastAsia="en-NZ"/>
              </w:rPr>
            </w:pPr>
            <w:r w:rsidRPr="00BE00C7">
              <w:rPr>
                <w:rFonts w:cs="Arial"/>
                <w:b w:val="0"/>
                <w:lang w:eastAsia="en-NZ"/>
              </w:rPr>
              <w:t>All resident rooms on site are suitable to provide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PSC Cashmere is a registered nurse with over 18 years aged care experience and has been in the role for eighteen months.  She is supported by a clinical nurse manager and their time is divided in these roles between Cashmere Home and Cashmere Heights.  There is always one at the facility at any given time.  There is a clinical coordinator at Cashmere Home who holds a Master of Nursing and is a Nurse Practitioner candidate.  She has been in the role for 18 months, initially at Cashmere Heights and at Cashmere Homes for three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Cashmere has a 2018-2019 Business Plan and a mission and vision statement defined.  The Business Plan outlines a number of goals for the year, each of which has defined objectives against quality, Eden and health and safety.  PSC Cashmere Home is an Eden Alternative service and has achieved 10 principles of Eden Alternative.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annually of professional development activities related to managing a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facility manager’s absence, the clinical nurse manager undertakes the role and is supported by the clinical coordinator and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has an overall Quality Monitoring Programme (QMP) and participates in an external quarterly benchmarking programme which is implemented at PSC Cashmere Home.  The senior team meeting acts as the quality committee and they meet twice a month (combined with Cashmere Heights).  Information is fed back to the monthly clinical focused meetings and unit staff meetings.  A range of other meetings are held at the facility.  Meeting minutes and reports are provided to the senior team meeting, actions are identified in minutes and quality improvement forms which are being signed off and reviewed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programme/goals has been monitored and reviewed through the monthly senior team meetings.  There is an internal audit calendar in place and the schedule was adhered and followed for 2018 and 2019 (year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monthly accident and incidents are provided to all meetings.  The service has linked the complaints process with its quality management system, including the benchmarking programme and fed back through the senior team and staff meetings.  There is an infection control register documenting monthly activity.  A monthly infection control report is completed and provided to the senior team and clinical meeting.  Feedback is provided to staff through meeting minutes, noticeboard memos and time target notes. </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meetings are held two-three times a year and are chaired by the chaplain who is the residents advocate.   A resident and a relative survey was undertaken in November 2018.  Compared to the 2017 surveys the resident survey results showed improvement in five of the ten areas and in the relative survey six of the areas showed improvement.  Both survey results were above the PSC average.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There is an organisation policy review group that has terms of reference and follows a monthly policy review schedule.  New/updated policies/procedures are generated from head office.  The manager is responsible for document control within the service; ensuring staff are kept up-to-date with the changes.  There is an organisational staff training programme that is based around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service has a health and safety management system, and this includes a health and safety officer (RN) who has completed H&amp;S training from ACC and is undertaking the PSC H&amp;S Officer training in June 2019.  The H&amp;S officer leads the H&amp;S committee.  Monthly reports are completed and reported to meetings.  Health &amp; safety meetings are held four times a year and include identification of hazards and accident/incident reporting and trends.  Data is entered on GOSH monthly and benchmarking occurs with other PSC homes.  Central organisation staff access and oversee trends.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The service collects a comprehensive set of data relating to adverse, unplanned and untoward events.  This includes the collection of incident and accident information.  The data is linked to the service benchmarking programme and this is able to be used for comparative purposes with other PSC services.</w:t>
            </w:r>
          </w:p>
          <w:p w:rsidR="00EB7645" w:rsidRPr="00BE00C7" w:rsidP="00BE00C7">
            <w:pPr>
              <w:pStyle w:val="OutcomeDescription"/>
              <w:spacing w:before="120" w:after="120"/>
              <w:rPr>
                <w:rFonts w:cs="Arial"/>
                <w:b w:val="0"/>
                <w:lang w:eastAsia="en-NZ"/>
              </w:rPr>
            </w:pPr>
            <w:r w:rsidRPr="00BE00C7">
              <w:rPr>
                <w:rFonts w:cs="Arial"/>
                <w:b w:val="0"/>
                <w:lang w:eastAsia="en-NZ"/>
              </w:rPr>
              <w:t>Senior team meetings and clinical focused meeting minutes include analysis of incident and accident data and corrective actions.  A monthly incident/accident report is completed which includes an analysis of data collected.  This is provided to staff.  Fifteen incident forms were reviewed from March 2019.  All identified follow-up assessments by a registered nurse includes neuro observations for those residents that had a fall and hit their head.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service confirmed that there is an awareness of the requirement to notify relevant authorities in relation to essential notifications.  Since the previous audit a section 31 incident notification form was completed for a pressure injury and change of senior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requires that relevant checks are completed to validate the individual’s qualifications, experience and veracity.  The facility manager stated that 30 staff are employed at Cashmere Home and a further 15 work across the two Cashmere sites.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(one clinical coordinator, one registered nurse, two healthcare assistants, one cook and one laundry person).  Each folder had a file checklist and documentation arranged under personal information, correspondence, agreement, education and performance appraisals.  The facility has an orientation programme in place.  Care staff stated that they believed new staff were adequately orientated to the service.  The orientation was completed for five out of six staff files reviewed (one HCA was still in their orientation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copy of qualifications and annual practising certificates including registered nurses and general practitioners and other registered health professionals are kept.  A training programme is implemented that includes eight hours annually.  The registered nurses and care staff attend PSC professional study days that cover the mandatory education requirements and other clinical requirements.  Attendance is monitored, and sessions repeated as necessary to get attendance.  </w:t>
            </w:r>
          </w:p>
          <w:p w:rsidR="00EB7645" w:rsidRPr="00BE00C7" w:rsidP="00BE00C7">
            <w:pPr>
              <w:pStyle w:val="OutcomeDescription"/>
              <w:spacing w:before="120" w:after="120"/>
              <w:rPr>
                <w:rFonts w:cs="Arial"/>
                <w:b w:val="0"/>
                <w:lang w:eastAsia="en-NZ"/>
              </w:rPr>
            </w:pPr>
            <w:r w:rsidRPr="00BE00C7">
              <w:rPr>
                <w:rFonts w:cs="Arial"/>
                <w:b w:val="0"/>
                <w:lang w:eastAsia="en-NZ"/>
              </w:rPr>
              <w:t>The staff training plan includes regular sessions occurring as per the monthly calendar – all sessions are well attended.  Registered nurses attend external sessions (eg, with Hospice).  Staff training is also undertaken at handover and additional educational material is distributed at this time.  This is recorded on handover sheets.</w:t>
            </w:r>
          </w:p>
          <w:p w:rsidR="00EB7645" w:rsidRPr="00BE00C7" w:rsidP="00BE00C7">
            <w:pPr>
              <w:pStyle w:val="OutcomeDescription"/>
              <w:spacing w:before="120" w:after="120"/>
              <w:rPr>
                <w:rFonts w:cs="Arial"/>
                <w:b w:val="0"/>
                <w:lang w:eastAsia="en-NZ"/>
              </w:rPr>
            </w:pPr>
            <w:r w:rsidRPr="00BE00C7">
              <w:rPr>
                <w:rFonts w:cs="Arial"/>
                <w:b w:val="0"/>
                <w:lang w:eastAsia="en-NZ"/>
              </w:rPr>
              <w:t>The seven RNs working at Cashmere Home are all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in place that provides sufficient and appropriate coverage for the effective delivery of care and support.  The service runs as a separate facility, but some staff work over both sites.  During weekdays there is a facility manager and a clinical nurse manager who oversee both facilities and a clinical coordinator dedicated to Cashmere Home.  </w:t>
            </w:r>
          </w:p>
          <w:p w:rsidR="00EB7645" w:rsidRPr="00BE00C7" w:rsidP="00BE00C7">
            <w:pPr>
              <w:pStyle w:val="OutcomeDescription"/>
              <w:spacing w:before="120" w:after="120"/>
              <w:rPr>
                <w:rFonts w:cs="Arial"/>
                <w:b w:val="0"/>
                <w:lang w:eastAsia="en-NZ"/>
              </w:rPr>
            </w:pPr>
            <w:r w:rsidRPr="00BE00C7">
              <w:rPr>
                <w:rFonts w:cs="Arial"/>
                <w:b w:val="0"/>
                <w:lang w:eastAsia="en-NZ"/>
              </w:rPr>
              <w:t>There is a clinical coordinator on each weekday and the clinical manager for approximately 5 hours each weekday.  There is an RN on duty 24 hours a day seven days a week with 12 healthcare assistants (HCAs) on am duty (4 are short shifts), 5 HCAs on pm duty (3 work a shortened duty of 4pm till 10pm) and one HCA on nights with the RN</w:t>
            </w:r>
          </w:p>
          <w:p w:rsidR="00EB7645" w:rsidRPr="00BE00C7" w:rsidP="00BE00C7">
            <w:pPr>
              <w:pStyle w:val="OutcomeDescription"/>
              <w:spacing w:before="120" w:after="120"/>
              <w:rPr>
                <w:rFonts w:cs="Arial"/>
                <w:b w:val="0"/>
                <w:lang w:eastAsia="en-NZ"/>
              </w:rPr>
            </w:pPr>
            <w:r w:rsidRPr="00BE00C7">
              <w:rPr>
                <w:rFonts w:cs="Arial"/>
                <w:b w:val="0"/>
                <w:lang w:eastAsia="en-NZ"/>
              </w:rPr>
              <w:t>There is designated staff for kitchen, laundry, cleaning and activities (the lead activities officer is shared between the two sites).  Residents and relatives interviewed advised that there are sufficient staff on duty at any one time and that staff are prompt to answer call bells and attend to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Informed consent to display photographs is obtained from residents/family/whānau on admission.  Information containing sensitive resident information is not displayed in a way that can be viewed by other residents or members of the public.  Entries in records are legible, dated and signed by the relevant HCAs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entry potential residents have a needs assessment completed.  The service has an admission policy, admission agreement and a resident information pack available for residents/families/whānau at entry.  The information pack includes all relevant aspects of the service.  The seven admission agreements viewed were signed.  Admission agreements in the files reviewed align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uses the yellow envelope system for transfer documentation with a copy of details being kept on the resident’s file.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that administer medications (RNs, ENs and medication competent healthcare assistants) have been assessed for competency on an annual basis and attend annual medication education.  All medication is checked on delivery against the electronic medication chart.  All medications are stored safely.  There is a medication room in the hospital, all medications were securely and appropriately stored.  The medication fridge is maintained within the acceptable temperature range.  All eye drops, and ointments were dated on opening.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reviewed met legislative requirements.  Medications had been signed as administered in line with prescription charts.  Appropriate practice was demonstrated on the witnessed medication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for both Cashmere Home and Cashmere Heights.  The Food Control Plan expires on 23 January 2020.  Cashmere Home has a large kitchen with a receiving area and food preparation area.  A qualified food service team leader has recently been employed and will work Monday to Friday.  The senior cook will work in the weekends.  There are two kitchen hands employed each day.  They have completed food safety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menus are seasonal and rotate on a five-weekly basis.  The menu has been audited and approved by a dietitian.  There are snacks available throughout the day.   Residents can choose to have breakfast in their room.  Cultural preferences and special diets are met including pureed diets and high protein diets.  The cook receives a resident dietary profile for all residents and is notified of any dietary changes.  Likes and dislikes are known and accommodated.  Food is served in the adjacent dining room from bain maries.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recorded daily.  There is evidence that food temperatures are taken and recorded daily.  All foods were date labelled and stored correctly.  A cleaning schedule is maintained, this was sighted.  Residents and family members interviewed, were generally happy with the food, some of those interviewed said that the food had improved.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satisfied with the meals provided.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entry is declined, the management staff at Cashmere Home communicates directly with the referring agencies and family/whānau as appropriate.  The reason for declining entry to the service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that the RN completes an initial admission assessment which includes relevant risk assessment tools.  An interRAI assessment is undertaken within 21 days of admission and six-monthly, or earlier if there are changes to resident’s health.  Resident needs and supports are identified through the ongoing assessment process in consultation with the resident/relative and significant others.  InterRAI initial assessments and assessment summaries were in place for the long-term resident files reviewed.  Additional assessments for management of behaviour and wound care were appropriately completed according to need.  The long-term care plans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describe the resident goals, supports and interventions required to meet desired goals as identified during the ongoing assessment process.  There is documented evidence of resident and/or family input ensuring a resident-focused approach to care.  There was evidence of allied health care professionals involved in the care of the resident including GP, physiotherapist, podiatrist, dietitian, and the wound specialist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to guide staff in the delivery of care for short-term needs were in use for changes in health status, these were sighted.  These were evaluated on a regular basis and signed off as resolved or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initiates a review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reviewed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eleven wounds and one pressure injury being managed at the time of audit.  Wound assessments had been completed for all wounds.  There was evidence of GP and wound nurse specialist involvement for five of the wounds and the pressure injury.  Appropriate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Healthcare assistants interviewed confirmed they are updated of any changes in resident’s care or treatment during handover sessions and the active short-term care plans are in the front of the resident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an activities programme, five days a week designed to reflect residents’ interests.  The weekly activities are displayed in a social calendar.  An Eden Circle is held once a month, residents meet and contribute ideas for activities and decision making for the site.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 personal assessment completed after admission in consultation with the resident and/or family/whānau.  The assessment captures a resident’s interests, career, and family background.  This information is then used to design the activity plan.  A record is kept of individual resident’s activities.  The activity sections of the care plan are reviewed six monthly.  One-to-one and group activities are provided.  Community access includes van trips.  Children from the community visit the facility and are involved in activities.  A music therapist and entertainers also visit the site.  The residents are visited regularly by a dog.  Families and residents interviewed reported an enjoyable activities programme was available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Cashmere Home employs a trained recreation team leader who oversees the activities at Cashmere Home two days per week.  An activities officer works Monday to Friday.  A chaplain, visits residents on site on a weekly basis, and makes entries in the residents’ notes.  Church services are provided by local church organisations and the chaplain.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have been evaluated by an RN six monthly or earlier for any health changes using the health and wellbeing review form and interRAI tool.  Written evaluations identified if desired goals had been met or unmet and care plans were updated to reflect the resident’s current health status.  Ongoing nursing evaluations occur as indicated and are documented within the progress notes.  Family had been invited to attend the care plan review and informed of any changes if unable to attend.  The GP reviews the residents at least three-monthly or earlier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A yellow transfer envelope is used when residents are transferring to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The RNs interviewed described the referral process to other medical and non-medical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were correctly labelled and stored safely throughout the facility.  The hazard register identifies hazardous substances.  The maintenance person described the safe management of hazardous material.  There is a sluice room with personal protective equipment available.  Staff have completed chemical safety training.  The cleaners transfer the chemicals to a trolley, which they take with them when cleaning.  A chemical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23 December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and preventative maintenance occurs.  There is an annual maintenance plan, which includes monthly checks, for example, hot water temperature, call bells, resident equipment and safety checks.  Electrical equipment has been tested and tagged.  Clinical equipment has been calibrated and/or serviced.  Essential contractors are available 24-hours.  Fire equipment is checked by an external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mobilising throughout the facility with easy access to communal areas.  The facility has wide corridors with sufficient space for residents to safely mobilise using mobility aids.  There is safe access to the outdoor areas.  Seating and shade is provided.  The healthcare assistants and RNs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toilets and showers in the hospital.  There are a mix of rooms with ensuites and shared communal bathrooms.  All bedrooms have hand basins.  The toilets and showers are identifiable and include vacant/in-use signs.  Fixtures fittings and flooring is appropriate and toilet/shower facilities are constructed for ease of cleaning.  Communal, visitor and staff toilets are available and contain flowing soap and paper towels.  Communal toilets and bathrooms have appropriate signage and locks on the doors.  Residents interviewed stated their privacy and dignity are maintained while staff attend to their personal cares 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are spacious, and residents can manoeuvre mobility aids around the bed and personal space.  There is adequate room to safely manoeuvre mobility aids and transferring equipment such as hoists in the resident bedrooms.  Residents and families are encouraged to personalise their 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and several smaller lounges and a large dining room.  All areas are easily accessible for the residents.  Furnishings and seating are appropriate for the resident group.  Residents were seen moving freely within the communal areas during the days of the audit.  Residents interviewed reported they can move freely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services are appropriately managed seven days a week by dedicated laundry staff.  Chemicals are stored in a locked room and all chemicals are labelled with manufacturer’s labels.  Material safety datasheets are available in a folder.  Effectiveness of laundry and cleaning services are monitored through the laundry services audit and environmental cleanliness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cleaning staff on duty.  All laundry is completed on-site.  The laundry and cleaning staff have completed chemical safety training and laundry processes.  The laundry has clearly defined clean and dirty areas with separate internal doors and also separate external doors to and from each area for the transportation of laundry off site.  (Cashmere Heights laundry is undertaken on site also).  Personal protective clothing is available and used by laundry staff as required including gloves, aprons and face masks.  The cleaners’ trolleys are stored in a locked area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disaster plans are in place to guide staff in managing emergencies and disasters.  Emergencies, first aid and CPR are included in the mandatory in-service programme.  There is a first aid trained staff member on every shift.  The facility has an approved fire evacuation plan and fire drills occur six monthly.  Smoke alarms, sprinkler system and exit signs are in place.  The service has alternative facilities for cooking in the event of a power failure, with a backup system for emergency lighting and battery backup - the facility has a generator.  There are civil defence kits in the facility and stored water (1500 litre capacity).  Call bells are evident in residents’ rooms, lounge areas and toilets/bathrooms.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environment was maintained at a safe and comfortable temperature (underfloor heating).  Residents are provided with adequate natural light, safe ventilation.  The residents and family interviewed confirmed the temperature of the facility is comfortable.  There is a dedicated outdoor smoking area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and its content and detail is appropriate for the size, complexity and degree of risk associated with the service.  There is an external benchmarking system in place and summaries of these results are fed back through the senior team and staff meetings.  The scope of the infection control programme policy and infection control programme description is available.  There is an implemented infection control programme that is linked into the risk management system.  The infection control coordinator (registered nurse) provides a monthly report to the senior team meeting (quality committee).  Spot audits have been conducted and include hand hygiene and infection control practices.  Education is provided for all new staff on orientation.  A current infection control project was to promote flu vaccination for residents and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governing body are responsible for the development of the infection control programme and its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criteria policy states the infection control practitioner and committee members work in liaison with the health and safety committee.  Infection control meetings are combined with senior team meetings (quality) held fortnightly.  The senior team committee is made up of a cross section of staff including: management, clinical, kitchen and recreation.  The service also has access to an infection control nurse specialist, public health and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PSC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(October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undertaken the PSC self-directed learning for infections control coordinators, has attended the PSC infection control nurse peer support day (September 2018) and receives/attends the CCDHB ICC updates.  The infection control coordinator also has access to the microbiologist, pharmacist, DHB infection control nurse, Public Health, Med Lab, GPs, expertise within the organisation and external infection control specialists.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provides infection control orientation to all new staff.  Infection control education is part of the professional nurses and caregiver study days that are held annually.  Resident education is expected to occur as part of providing daily cares.  There have been no outbreaks for over 6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PSC Cashmere Home.  Internal infection control audits also assist the service in evaluating infection control needs.  There is liaison with the GP and laboratory staff that advises and provides feedback/information to the service.  The GP and the service monitor the use of antibiotics.  Infection control data is collated monthly, loaded onto GOSH the PSC electronic data collecting system (organisation wide benchmarking occurs) and reported to the monthly senior team meeting.  The meetings include the monthly infection control report and benchmarking quarterly results as available.  Individual resident infection control summaries are maintained.  The surveillance of infection data assists in evaluating compliance with infection control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two residents with restraint and three residents with an enabler.  The restraints and enablers in use included bed rails and a lap belt.  All enabler and restraint files were checked.  All necessary documentation has been completed in relation to enablers.  Staff interviews, and staff records evidenced guidance has been given on restraint minimisation and safe practice (RMSP), enabler usage and prevention and/or de-escalation techniques.  Policies and procedures include definition of restraint and enabler that are congruent with the definition in NZS 8134.0.  Staff education on RMSP/enablers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restraint coordinator.  Assessment and approval process for restraint use included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family/whānau, in the restraint and enabler files sampled.  The restraint coordinator, the resident and/or their representative and a medical practitioner were involved in the assessment and consent process.  In the files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identifies that restraint is only put in place where it is clinically indicated and justified, and approval processes are obtained/met.  There is an assessment form/process that is completed for all restraints and enablers.  The files reviewed had a completed assessment form and a care plan that reflected risk.  Monitoring forms that included regular monitoring at the frequency determined by the risk level were present in the files reviewed.  In resident files reviewed, appropriate documentation has been completed.  The service has restraint and enablers registers which are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and restraint coordinator.  Restraint practices are reviewed on a formal basis every month by the restraint coordinator at senior team meetings.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Reviews are completed three monthly or sooner if a need is identified.  Reviews are completed by the restraint coordinator.  Any adverse outcomes are reported at the monthly quality and health and safety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243"/>
        <w:gridCol w:w="65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Cashmere Home has a very diverse cultural mix of residents and staff and they decided to share those cultures with residents, families and staff to develop a greater understanding and appreciation of other resident and staff cultures, to promote respect, acceptance and enhance residents’ wellbeing.  Cultural days were held.  </w:t>
            </w:r>
          </w:p>
          <w:p w:rsidR="00EB7645" w:rsidRPr="00BE00C7" w:rsidP="00BE00C7">
            <w:pPr>
              <w:pStyle w:val="OutcomeDescription"/>
              <w:spacing w:before="120" w:after="120"/>
              <w:rPr>
                <w:rFonts w:cs="Arial"/>
                <w:b w:val="0"/>
                <w:lang w:eastAsia="en-NZ"/>
              </w:rPr>
            </w:pPr>
            <w:r w:rsidRPr="00BE00C7">
              <w:rPr>
                <w:rFonts w:cs="Arial"/>
                <w:b w:val="0"/>
                <w:lang w:eastAsia="en-NZ"/>
              </w:rPr>
              <w:t>A Samoan Cultural Day was held in October 2018.  Six staff and one resident organised the Samoan Day.  Samoan decorations were put up by residents and staff.  Costumes were provided; dance practices were overseen by a Samoan resident who also sang on the day.  Entertainment and Samoan food were provided.  The event was attended by 20 staff, 30 residents, 10 family members and two volunteers.  Feedback from residents, families, staff and volunteers was overwhelmingly positive and morale for residents and staff was enhanced.  The local newspaper published an article on the event.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Fiji Indian Cultural Day was held in November 2018.  Residents, their family, staff, friends and volunteers planned the event.  Dances were practiced, the facility was decorated, a banquet prepared, traditional clothing was worn by residents and staff.  Other cultures were acknowledged with a parade of staff identifying each person’s home country.  More than 50 people attended the event which included dancing.  A Fiji Indian resident thanked staff and residents for honouring his culture and his family also expressed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Filipino Day was held on 19 February 2019.  Staff wore national costume, the facility was decorated, and a replica Jeepney was made.  Residents made fans used in the dances and prepared Filipino snacks for residents.  Residents, staff, their families, and the community participated.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Cashmere Home has a very diverse cultural mix of residents and staff and they decided to share those cultures with residents, families and staff to develop a greater understanding and appreciation of other resident and staff cultures, to promote respect, acceptance and enhance residents’ wellbeing.  Cultural days were held.  Feedback from residents for the cultural days included documented positive comments and offers by residents to contribute to further cultural days.  There were a series of photographs showcasing the events.  There was a request by residents and staff to incorporate regular cultural days into the calendar.  Outcomes have included an enhanced community feel, work place culture, and positive morale and enhanced resident care, support and wellbeing.  Cashmere Home has decided to continue with Cultural Days on a quarterly basis and increase the planning to ensure greater family involvement.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Cashmere Hospital (16 &amp; 51 Helston road)</w:t>
    </w:r>
    <w:bookmarkEnd w:id="58"/>
    <w:r>
      <w:rPr>
        <w:rFonts w:cs="Arial"/>
        <w:sz w:val="16"/>
        <w:szCs w:val="20"/>
      </w:rPr>
      <w:tab/>
      <w:t xml:space="preserve">Date of Audit: </w:t>
    </w:r>
    <w:bookmarkStart w:id="59" w:name="AuditStartDate1"/>
    <w:r>
      <w:rPr>
        <w:rFonts w:cs="Arial"/>
        <w:sz w:val="16"/>
        <w:szCs w:val="20"/>
      </w:rPr>
      <w:t>11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