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Forrest Hill Continuing Care Limited - Forrest Hill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Forrest Hill Continuing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Forrest Hill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June 2019</w:t>
      </w:r>
      <w:bookmarkEnd w:id="7"/>
      <w:r w:rsidRPr="009418D4">
        <w:rPr>
          <w:rFonts w:cs="Arial"/>
        </w:rPr>
        <w:tab/>
        <w:t xml:space="preserve">End date: </w:t>
      </w:r>
      <w:bookmarkStart w:id="8" w:name="AuditEndDate"/>
      <w:r w:rsidR="00A4268A">
        <w:rPr>
          <w:rFonts w:cs="Arial"/>
        </w:rPr>
        <w:t>4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Following a new build of a new unit the service will increase their capacity from 62 to 75 dual purpose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Currently, Forrest Hill Home and Hospital provides rest home and hospital level care for up to 62 residents. They have built a new unit which contains 13 additional beds. The service is privately operated and managed by a general manager with assistance from a clinical manager and a quality assurance coordinator. All three members of the management team hold current nursing annual practising certificates. Residents and families spoke positively about the care provided.</w:t>
      </w:r>
    </w:p>
    <w:p w:rsidRPr="00A4268A">
      <w:pPr>
        <w:spacing w:before="240" w:line="276" w:lineRule="auto"/>
        <w:rPr>
          <w:rFonts w:eastAsia="Calibri"/>
        </w:rPr>
      </w:pPr>
      <w:r w:rsidRPr="00A4268A">
        <w:rPr>
          <w:rFonts w:eastAsia="Calibri"/>
        </w:rPr>
        <w:t xml:space="preserve">This partial provisional audit was conducted against the Health and Disability Services Standards and the service’s contract with the district health board to establish the level of preparedness of the provider to operate an additional 13 dual purpose beds which will take the total number of beds to 75. The audit process included review of policies and procedures, review of staff files, observations and interviews with residents, family, management, staff, and a general practitioner.  </w:t>
      </w:r>
    </w:p>
    <w:p w:rsidRPr="00A4268A">
      <w:pPr>
        <w:spacing w:before="240" w:line="276" w:lineRule="auto"/>
        <w:rPr>
          <w:rFonts w:eastAsia="Calibri"/>
        </w:rPr>
      </w:pP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These processes will continue and will cover the newly built unit. All three members of the management team, the general manager, clinical manager and quality assurance coordinator are experienced and suitably qualified persons to oversee and monitor all services offered at the facility. Regular reporting occurs between management and the owner/directors. </w:t>
      </w:r>
    </w:p>
    <w:p w:rsidRPr="00A4268A">
      <w:pPr>
        <w:spacing w:before="240" w:line="276" w:lineRule="auto"/>
        <w:rPr>
          <w:rFonts w:eastAsia="Calibri"/>
        </w:rPr>
      </w:pPr>
      <w:r w:rsidRPr="00A4268A">
        <w:rPr>
          <w:rFonts w:eastAsia="Calibri"/>
        </w:rPr>
        <w:t>The appointment, orientation and management of staff are based on current good practice. A systematic approach to identify and deliver ongoing training supports safe service delivery, and includes regular individual performance review.  Staffing levels and skill mix meet the changing needs of residents. Staffing will be increased incrementally as the number of residents increase to ensure safe staffing levels are maintained.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Medicines are safely managed and administered by staff who are competent to do so. These practices will continue to cover the residents admitted to the new build.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 The service is able to cater for the additional residents.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is clean and well maintained. There is a current building warrant of fitness for the existing services and the facility is waiting for a code of compliance for the new build.  Electrical equipment is tested as required. Communal and individual spaces are maintained at a comfortable temperature. External areas are accessible, safe and provide shade and seating. The outdoor area immediately outside the new building is yet to be completed. The new unit is connected to the existing facility with seamless access for staff and residents.</w:t>
      </w:r>
    </w:p>
    <w:p w:rsidRPr="00A4268A">
      <w:pPr>
        <w:spacing w:before="240" w:line="276" w:lineRule="auto"/>
        <w:rPr>
          <w:rFonts w:eastAsia="Calibri"/>
        </w:rPr>
      </w:pPr>
      <w:r w:rsidRPr="00A4268A">
        <w:rPr>
          <w:rFonts w:eastAsia="Calibri"/>
        </w:rPr>
        <w:t xml:space="preserve">Waste and hazardous substances are well managed. Staff use protective equipment and clothing. Chemicals, soiled linen and equipment are safely stored. Resident’s personal laundry is undertaken onsite with larger items being sent offsite. The laundry is adequately equipped to cater for the additional 13 residents.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The fire evacuation scheme has yet to be approved for the new build. Residents reported a timely staff response to call bells. The call bells are operational in all areas of the new build. Security is maintained with all exterior doors of the new build being secure.</w:t>
      </w:r>
    </w:p>
    <w:p w:rsidRPr="00A4268A">
      <w:pPr>
        <w:spacing w:before="240" w:line="276" w:lineRule="auto"/>
        <w:rPr>
          <w:rFonts w:eastAsia="Calibri"/>
        </w:rPr>
      </w:pP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Click here to enter text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coordinator, aims to prevent and manage infections. The programme is reviewed annually. Specialist infection prevention and control advice is accessed when needed. Residents entering the new unit will be included in all infection control surveillance processes.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70"/>
        <w:gridCol w:w="1280"/>
        <w:gridCol w:w="10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longer-term objectives and the associated operational plans. A sample of electronic reports which are accessible to the owner/directors via an electronic shared drive, showed adequate information to monitor performance is reported. Reports include occupancy, financial performance, complaints, maintenance, quality data, emerging risks and issues. The general manager reports at least weekly to one director/owner via email and during telephone discussions. During interview with the owner/director he confirmed all reporting systems will remain in place to cover residents from the new building. He is working closely with the builders and project manager to ensure all compliance issues will be met prior to occupancy of the additional 13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general manager who holds relevant qualifications and has been in the role for over two years. The general manager has held similar positions in other age care facilities over the past nine years. A clinical manager who has been in the role for over five years, with 25 years aged care experience, supports the general manager along with a recently appointed quality assurance coordinator who is being mentored into the role. The quality assurance coordinator has worked at the facility four years. All three members of the management team are registered nurses with current nursing practising certificates. Responsibilities and accountabilities are defined in their job descriptions and individual employment agreements.  The general manager confirms her knowledge of the sector, regulatory and reporting requirements. Members of the management team maintain currency through attendance at clinical and management ongoing education held on-site and off-site.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WDHB for hospital geriatric and rest home level care. Residents were receiving services under the following contracts: - </w:t>
            </w:r>
          </w:p>
          <w:p w:rsidR="00EB7645" w:rsidRPr="00BE00C7" w:rsidP="00BE00C7">
            <w:pPr>
              <w:pStyle w:val="OutcomeDescription"/>
              <w:spacing w:before="120" w:after="120"/>
              <w:rPr>
                <w:rFonts w:cs="Arial"/>
                <w:b w:val="0"/>
                <w:lang w:eastAsia="en-NZ"/>
              </w:rPr>
            </w:pPr>
            <w:r w:rsidRPr="00BE00C7">
              <w:rPr>
                <w:rFonts w:cs="Arial"/>
                <w:b w:val="0"/>
                <w:lang w:eastAsia="en-NZ"/>
              </w:rPr>
              <w:t>Long Term Support – Chronic Health Conditions – nil residents under this contract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Age Related Residential Care – 33 hospital level care and 18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Interim Care- one resident who is hospital level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clinical manager and organisational quality assurance coordinator carry out all the required duties under delegated authority. During absences of clinical manager, the general manager and a senior registered nurse oversee all clinical management and are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All files reviewed for staff who have worked longer than three months contained completed orientation booklets. Staff who have been employed less than three months have orientation booklets which are partially completed as they have three months of complete all requirements. Compulsory components of the orientation process such as fire training and medication competency have been completed. Staff orientation includes all necessary components relevant to the role. During interview, staff reported that the orientation process prepared them well for their role.  All staff appraisals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Education is undertaken to an appropriate level and reflects care provision standards required to manage all contractual services. The service has sought and sent staff and management on specific courses and education related to in-depth medical care management of residents such as management of patients with intravenous antibiotics (OPIVA) and recognising signs of change in palliative residents by use of current best practice palliative care pathways. The OPIVA training has been specifically designed to assist registered nurses working in private hospitals within aged care to manage residents with central venous lines who require an extended length of intravenous antibiotic therapy in the comfort of their own facility. The GP confirmed care is delivered to a high standard and that as the number of residents increase more GP time will be allocated to the service. Currently the GP visits one day a week and this will increase to two days a week to safely manage the increase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have clearly documented education. Staff interviewed confirmed that on-site education is undertaken at least monthly with input from the gerontology nurse specialist, hospice nurses and other guest speakers. Staff stated that if they request a topic of interest this is in added into the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six trained and competent registered nurses who are maintaining their annual competency requirements to undertake interRAI assessments. Records reviewed demonstrated completion of the required training and completion of annual performance appraisals for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This is confirmed on the rosters sighted and during staff interviews. An afterhours on call roster is in place, with staff reporting that good access to advice is available when needed.   Care staff reported there were adequate staff available to complete the work allocated to them.  Residents and family interviewed supported this. The service has completed several projected rosters to show how staffing will increase according to the number of residents and/or resident acuity to ensure safe staffing levels are maintained to cover the new admissions for the additional beds. All RNs hold current first aid corticated to ensure all duties are covered as there is 24 hour/seven days a week RN coverage.  The service has employed an additional registered nurse and three healthcare assistants in anticipation of the new build being opened and resident numbers increasing.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works across two sites, both owned and operated by the same provider. Part of each day is spent at Forrest Hill Home and Hospital and she is always contactable via telephone. There are 92 dedicated activity hours per week and this will increase as required for the increase in resident numbers. Dedicated cleaning staff work 12 hours per day Monday to Friday and seven and a half hours in the weekend. The cleaner interviewed said the increase in workload had been discussed with management and cleaning hours will be increased if required for the new building. Laundry staff work seven and a half hours, seven days a week and as only resident personal laundry is undertaken on site, the general manager will review the need for more hours as resident numbers increase. Kitchen staff cover is available from 6am to 2pm and then 3pm to 7pm, seven days a week. Interviews with kitchen staff confirm they will be able to manage the increase in resident numbers without more staff required. The maintenance person works across the two sites Monday to Friday and the maintenance book identifies all requested maintenance is completed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legislative requirements and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member observed demonstrated adequate knowledge and understood their roles and responsibilities related to each stage of medicine management.  All staff who administer medicines are competent to perform the function they manage.  This is confirmed in competencies sighted with all RNs being fully medication competent and healthcare assistants who work night duty are competent as second checkers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The service has registered staff and the support of community specialists to manage medical residents. Clinical pharmacist input, including education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evidence of weekly and six-monthly stock checks and accurate entries.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self-administer medications at the time of audit.  There is an implemented process for comprehensive analysis of any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for the new build will be administered as described above and medication will be stored in the current medication cupboard. The general manager stated that another medication trolley would be purchased if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daily, supported by kitchen staff, and is in line with recognised nutritional guidelines for older people.  The menu follows summer and winter patterns and has been reviewed by a qualified dietitian in August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and expires June 2020.  Food temperatures, including for high-risk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 cook interviewed stated that they can manage all menus and different foods/diets required for all residents and that they can easily cater for an additional 13 residents. This is confirmed during observation of kitchen equipment which includes two hot/cold boxes for transportation of meals if residents wish to eat in their bedroom. The residents from the new build will dine in the existing dining room which is large enough to cater for additional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all but one resident, all family interviews and in residents’ meeting minutes. One resident interviewed stated that sometimes the meat was not tender and it was too fatty. This information was passed onto management at the time of audit. Residents were seen to be given sufficient time to eat their meal in an unhurried fashion and those requiring assistance had this provided.  Families interviewed stated that the cook always caters for everyone’s needs, likes and dislikes, covering a wide range of cultural dishes, food preferences, regularly visits residents and has discussions with family to ensure that they are happy with the food, providing alternative options if needed.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The new build has a locked sluice room where chemicals will be stored.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14 July 2019) is publicly displayed.  This is for the currently used care facility only and does not include the new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(08 April 2019) and calibration of bio medical equipment (21 January 2019) is current as confirmed in documentation reviewed, interviews with maintenance personnel and observation of the environment.  Newly purchased equipment is included in the test and tag and biomedical equipment testing as required. There is adequate equipment available, including electric beds, three lifting hoists and two weigh scales which will be used across all services. Efforts are made to ensure the environment is hazard free, that residents are safe and independence is promoted. The equipment is suitable for hospital and medical level care. The new building has adequate storage for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for the new building are yet to be completed. Existing outdoor areas, which can easily be accessed from the new build, are safely maintained and are appropriate to the resident groups and setting.  Staff confirmed any requests for maintenance are appropriately actioned and that they are happy with the environment.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 new build has full ensuite facilities in all bedrooms plus a visitor and staff toilet located in a common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bathroom areas are of a size which allows lifting equipment to be used if required which makes them suitable for services offered.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For the new build the bedrooms are spacious and all are single accommodation. Existing bedrooms are personalised with furnishings, photos and other personal items displayed.  The newly built bedrooms have a mix of built in furniture and freestanding furnishings and residents will be encouraged to personalise their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 width and room size is adequate for use of all existing equipment used by staff and residents including beds. The bedrooms will accommodate the safe storage of mobility aids, wheelchairs and mobility scooters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existing dinning and lounge areas, plus two new lounge areas in the new building allow easy access for residents and staff. Residents can access areas for privacy if required. Furniture is appropriate to the residents and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personal laundry, tea towels and face clothes are undertaken on site in a dedicated well equipped laundry. Other items of laundry are sent off site and washed by a contracted provider. Dedicated laundry staff demonstrated a sound knowledge of the laundry processes, dirty/clean flow and handling of soiled linen. Residents interviewed reported the laundry is managed well and their clothes are returned in a timely manner. Staff confirm there is always adequate clean linen available. The laundry person interviewed feels that additional laundry hours may be required when all the new beds are full and the general manager confirmed she will monitor the need for increased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staff have completed safe chemical handling education.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Cleaning staff feel confident that they will be able to manage the additional cleaning requirements of the new build. The general manager stated she will monitor the cleaning hours and they will be increased if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which covers the existing care unit only, was approved by the New Zealand Fire Service on the 11 September 2014. The new fire evacuation scheme to include the new build is yet to be completed. A trial evacuation takes place six-monthly. The most recent being on 07 May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proposed 75 residents. Water storage tanks are located around the complex including an additional water storage tank under the deck of the new building.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by the clinical manager and include response times. The call bells are operational in the new building and connected to the main call system. They will be included in all monitoring and audits. </w:t>
            </w:r>
          </w:p>
          <w:p w:rsidR="00EB7645" w:rsidRPr="00BE00C7" w:rsidP="00BE00C7">
            <w:pPr>
              <w:pStyle w:val="OutcomeDescription"/>
              <w:spacing w:before="120" w:after="120"/>
              <w:rPr>
                <w:rFonts w:cs="Arial"/>
                <w:b w:val="0"/>
                <w:lang w:eastAsia="en-NZ"/>
              </w:rPr>
            </w:pPr>
            <w:r w:rsidRPr="00BE00C7">
              <w:rPr>
                <w:rFonts w:cs="Arial"/>
                <w:b w:val="0"/>
                <w:lang w:eastAsia="en-NZ"/>
              </w:rPr>
              <w:t>For the new build, all exterior doors have locks which automatically open should the fire alarm go off. The windows have safety stays to prevent the windows being opened too far. Staff will continue to do night time lock downs and check doors as they currently do in the existing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heating and ventilation of the building is appropriate with the new building having under-floor central heating and ceiling air exchange units. Resident rooms have natural light. With the exception of one bedroom (room 73), the bedrooms have opening external windows. Room 73 has a large none-opening window as the external wall is rated as a firewall. To compensate for this there is a large ceiling skylight which can be remotely controlled by the resident to open for fresh air as required.  The lounge areas of the new build have wall mounted electric heat pumps. The facility was warm and well ventilated throughout the audit and residents and families confirmed the existing facility is maintained at a comfortable temperature throughout the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clinical manager. The infection control programme and manual are reviewed annually.  The programme is suitable for contracted services and will be applied to the additional residents once the new facility is operational.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manager/registered nurse is the designated IPC coordinator, whose role and responsibilities are defined in a job description. Infection control matters, including surveillance results, are reported monthly to senior management and the owner/director which are tabled as part of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All staff are required to complete a documented competency related to infection control management and to demonstrate correct handwashing techniques as part of their orientation and annually thereafter. This was confirmed in staff files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89"/>
        <w:gridCol w:w="1280"/>
        <w:gridCol w:w="5533"/>
        <w:gridCol w:w="4449"/>
        <w:gridCol w:w="13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in use for existing services meet legislative requirements including a current building warrant of fitness. However, the new build has yet to be given a code of compliance. The owner/director confirmed during interview that this process is being managed by the project manager and that a copy of the code of compliance would be sent to the Ministry of Health as soon as it is available.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code of compliance for the new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code of compliance has been issued for the new building.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outdoor areas for the exiting building are safe and accessible to all residents. These areas will also be used by residents from the new building as required. However, the grounds, gardens, ramp handrails, and ramped areas on the exit doors from the new building are yet to be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outdoor areas are yet to be completed. The gardens have not yet been completed, the outdoor concrete ramps to allow pedestrian access to and from the new build does not have any safety handrails and the exit doors from the new build to the exterior do not have ramps to allow ease of access for walking frames or wheelchairs.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external areas around the new building are completed to ensure resident safety.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existing care unit has an approved evacuation plan. This does not cover the new build.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currently no approved fire evacuation plan to include the new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there is an approved fire evacuation plan to include the new building.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Forrest Hill Continuing Care Limited - Forrest Hill Home and Hospital</w:t>
    </w:r>
    <w:bookmarkEnd w:id="58"/>
    <w:r>
      <w:rPr>
        <w:rFonts w:cs="Arial"/>
        <w:sz w:val="16"/>
        <w:szCs w:val="20"/>
      </w:rPr>
      <w:tab/>
      <w:t xml:space="preserve">Date of Audit: </w:t>
    </w:r>
    <w:bookmarkStart w:id="59" w:name="AuditStartDate1"/>
    <w:r>
      <w:rPr>
        <w:rFonts w:cs="Arial"/>
        <w:sz w:val="16"/>
        <w:szCs w:val="20"/>
      </w:rPr>
      <w:t>4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