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Birchleigh Management Limited - Birchleigh Residential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Birchleigh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Birchleigh Residential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May 2019</w:t>
      </w:r>
      <w:bookmarkEnd w:id="7"/>
      <w:r w:rsidRPr="009418D4">
        <w:rPr>
          <w:rFonts w:cs="Arial"/>
        </w:rPr>
        <w:tab/>
        <w:t xml:space="preserve">End date: </w:t>
      </w:r>
      <w:bookmarkStart w:id="8" w:name="AuditEndDate"/>
      <w:r w:rsidR="00A4268A">
        <w:rPr>
          <w:rFonts w:cs="Arial"/>
        </w:rPr>
        <w:t>7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Birchleigh Residential Care Centre is certified to provide rest home, dementia and hospital/geriatric level care for up to 83 residents.  On the day of audit, there were 78 residents.  The service is overseen by a chief executive officer who reports to a Board of Directors.  Each unit is managed by an experienced nurse manager (registered nurse). </w:t>
      </w:r>
    </w:p>
    <w:p w:rsidRPr="00A4268A">
      <w:pPr>
        <w:spacing w:before="240" w:line="276" w:lineRule="auto"/>
        <w:rPr>
          <w:rFonts w:eastAsia="Calibri"/>
        </w:rPr>
      </w:pPr>
      <w:r w:rsidRPr="00A4268A">
        <w:rPr>
          <w:rFonts w:eastAsia="Calibri"/>
        </w:rPr>
        <w:t xml:space="preserve">Residents and families interviewed were complimentary of the service that they receive.  Staff turnover has been low. </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The service has exceeded the standard around good practice. </w:t>
      </w:r>
    </w:p>
    <w:p w:rsidRPr="00A4268A">
      <w:pPr>
        <w:spacing w:before="240" w:line="276" w:lineRule="auto"/>
        <w:rPr>
          <w:rFonts w:eastAsia="Calibri"/>
        </w:rPr>
      </w:pPr>
      <w:r w:rsidRPr="00A4268A">
        <w:rPr>
          <w:rFonts w:eastAsia="Calibri"/>
        </w:rPr>
        <w:t>The audit has identified that improvements are required around progress note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Personal privacy and values of residents are respected.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Staff interviewed are familiar with processes to ensure informed consent.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rest home, hospital and dementia level care residents.  A chief executive, a services manager and three nurse managers are responsible for the day-to-day operations.  Goals are documented for the service with evidence of regular reviews.  A quality and risk management programme is embedded.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by the three nurse managers and registered nurses.  There is comprehensive service information available.  Assessments, care plans and evaluations are completed by a registered nurse.  Each resident has access to an individual and group activities programme.  The group programme is varied and interesting.  Medication is stored appropriately in line with legislation and guidelines.  General practitioners review residents at least three monthly or more frequently if needed.  Meals are prepared on site by a contracted company.  The menu is varied and appropriate.  Individual and special dietary needs are catered for.  Alternative options are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are available along with product safety charts.  The building holds a current warrant of fitness.  Resident rooms are spacious with an adequate number of shower and toilet facilities for the number of residents.  There is wheelchair access to all areas.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approved evacuation scheme and emergency supplies for at least three days.  The majority of staff hold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and documents for the safe assessment, planning, monitoring and review of restraint and enablers.  The restraint coordinator maintains a register.  During the audit, three residents were using restraints and five residents were using enablers.  Staff regularly receive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There have been two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78"/>
        <w:gridCol w:w="1280"/>
        <w:gridCol w:w="99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Birchleigh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Interviews with care staff (seven caregivers, three registered nurses, one diversional therapist and two activity assistants) confirmed their understanding of the Code.  Six residents (three rest home level and three hospital level) and nine relatives (one hospital level, four dementia and four rest home) interviewed, confirmed that staff respect privacy, and support residents in making choices.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advanced directives and medical care guidance instructions were recorded, as evidenced in nine resident files reviewed (three dementia, three rest home and three hospital).  Residents in the dementia unit have an activated enduring power of attorney in place (EPOA.  There was evidence that relative involvement occurs with the consent of the resident.  Relatives/EPOA interviewed confirmed that information was provided to enable informed choices and that they were able to decline or withdraw their consent.  Resident admission agreements were signed.  Caregivers and the registered nurses interviewed confirmed verbal consent is obtained when delivering care.  All nine resident files sampled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are aware of their right to access independent advocacy services.  Discussions with relatives confirmed the service provided opportunities for the family/EPOA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Entertainers are regularly invited to perform at the facility.  Residents are supported and encouraged to remain involved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Each of the three units have the complaints policy posted in a visible area with complaints forms and advocacy information nearby.  Information about complaints is provided on admission.  Interviews with all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includes written and verbal complaints, dates and actions taken.  Complaints are being managed in a timely manner, meeting requirements determined by the Health and Disability Commissioner (HDC).  There is evidence of lodged complaints being discussed in manager and staff meetings.  Three low level complaints for 2018 have been documented as resolved with appropriate corrective actions implemented.  There have been no complaints for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Also included in the pack are individual leaflets with welcome information from each unit.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A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Residents are supported to attend other churches if they wish.  Residents and relatives interviewed reported that they are able to choose to engage in activities and access community resources.  There is an abuse and neglect policy and staff education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There were no residents who identified as Māori on the day of audit.  Registered nurses advised that cultural needs were addressed in care plans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and spiritual practice is supported, and identified needs are incorporated into the care planning process and review as demonstrated in resident files sampled.  Discussions with care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care-planning meeting is carried out where the resident and/or whānau, as appropriate, are invited to be involved.  Individual beliefs or values are discussed and incorporated into the care plan.  Six monthly multi-disciplinary team meetings occur to assess if needs are being met.  Family are invited to attend.  Relatives reported that they feel they are consulted and kept informed and family involvement is encouraged.  Residents interviewed confirmed that staff consider their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three-monthly staff meetings include discussions around professional boundaries and concerns as they arise.  Management provided guidelines and examples of mentoring for specific situations.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Policies and procedures align with current accepted best practice.  The content of policy and procedures are sufficiently detailed to allow effective implementation by staff.  Registered nursing staff are available seven days a week, 24 hours a day.  A house GP visits the facility one day a week and an after-hours service is provided.  The general practitioner (GP) reviews residents identified as stable every three months, with more frequent visits for those residents whose condition is not deemed stable.  The GP interviewed is satisfied with the level of care that is being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specialist’s visits.  Physiotherapy services are provided on site four hours per week.  A dietitian is also available for consultations.  There is a regular in-service education and training programme for staff.  A podiatrist is on site every six weeks.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number of quality projects and exceeded the standard around changes to processes around end of life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documenting incidents.  All 15 incidents reviewed met this requirement.  Family members interviewed confirmed they are notified following a change of health status of their family member and all accidents and 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welcomed on entry to Birchleigh and were given time and explanation about services and procedures.  Residents and family are advised in writing of their eligibility and the process to become a subsidised resident should they wish to do so.  There is an interpreter policy in place and contact details of interpreters were available.  The service has policies and procedures available for access to interpreter services for residents (and their family) if required.  Resident and/or family meetings occur in each of the three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Birchleigh Management Limited (Birchleigh) is certified to provide rest home, hospital (geriatric and medical) and dementia level care for up to 83 residents.  On the day of audit there were 78 residents including 33 rest home level care residents, 25 hospital level care (including one under an exceptional care contract) and 20 dementia level care residents.  All residents were under the aged residential care contract.  One double room in the hospital unit is occupied by a married couple. </w:t>
            </w:r>
          </w:p>
          <w:p w:rsidR="00EB7645" w:rsidRPr="00BE00C7" w:rsidP="00BE00C7">
            <w:pPr>
              <w:pStyle w:val="OutcomeDescription"/>
              <w:spacing w:before="120" w:after="120"/>
              <w:rPr>
                <w:rFonts w:cs="Arial"/>
                <w:b w:val="0"/>
                <w:lang w:eastAsia="en-NZ"/>
              </w:rPr>
            </w:pPr>
            <w:r w:rsidRPr="00BE00C7">
              <w:rPr>
                <w:rFonts w:cs="Arial"/>
                <w:b w:val="0"/>
                <w:lang w:eastAsia="en-NZ"/>
              </w:rPr>
              <w:t>The strategic business plan describes the mission statement, values and goals of Birchleigh.  The strategic plan is supported by the 2019 to 2020 quality risk management plan.  The board of directors consists of three long serving members who provide support and resources as required.  One board member (interviewed) reported access to communication with board members anytime.  A member of the board is on site at the facility three to four days a week.  The DHB requested an update on plans to provide a connection between the rest home and hospital wing.  Plans have been drafted and are awaiting approval.</w:t>
            </w:r>
          </w:p>
          <w:p w:rsidR="00EB7645" w:rsidRPr="00BE00C7" w:rsidP="00BE00C7">
            <w:pPr>
              <w:pStyle w:val="OutcomeDescription"/>
              <w:spacing w:before="120" w:after="120"/>
              <w:rPr>
                <w:rFonts w:cs="Arial"/>
                <w:b w:val="0"/>
                <w:lang w:eastAsia="en-NZ"/>
              </w:rPr>
            </w:pPr>
            <w:r w:rsidRPr="00BE00C7">
              <w:rPr>
                <w:rFonts w:cs="Arial"/>
                <w:b w:val="0"/>
                <w:lang w:eastAsia="en-NZ"/>
              </w:rPr>
              <w:t>The CEO has maintained eight hours annually of professional development activities related to managing an aged care facility.  Each of the three units is managed separately by an experienced nurse manager, all of whom are registered nurses.  The hospital nurse manager has been in the role for eight years, the rest home nurse manager for 19 years, and the dementia nurse manager for two months.  The dementia manager has been involved in aged care for many years and has experience in other management roles.   Each of the nurse managers and the chief executive officer (CEO) have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CEO reported that in the event of his temporary absence, the board would maintain oversight and the three nurse managers would provide clinical management as usual.  The nurse managers provide oversight for each other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discussed at three monthly unit meetings and monthly at the quality and senior management team meetings.  The CEO provides a comprehensive report and meets with the board monthly.  Discussions with the managers reflected staff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in the hospital and rest home are held one to two monthly.  A family representatives meeting is held in the dementia unit three monthly.  Minutes are maintained.  Annual resident and relative surveys are completed with results communicated to residents and staff.  Survey results last completed in November 2018 reflect high levels of satisfaction in all areas. </w:t>
            </w:r>
          </w:p>
          <w:p w:rsidR="00EB7645" w:rsidRPr="00BE00C7" w:rsidP="00BE00C7">
            <w:pPr>
              <w:pStyle w:val="OutcomeDescription"/>
              <w:spacing w:before="120" w:after="120"/>
              <w:rPr>
                <w:rFonts w:cs="Arial"/>
                <w:b w:val="0"/>
                <w:lang w:eastAsia="en-NZ"/>
              </w:rPr>
            </w:pPr>
            <w:r w:rsidRPr="00BE00C7">
              <w:rPr>
                <w:rFonts w:cs="Arial"/>
                <w:b w:val="0"/>
                <w:lang w:eastAsia="en-NZ"/>
              </w:rPr>
              <w:t>Birchleigh has policies and procedures, and associated implementation systems to provide a good level of assurance that it is meeting accepted good practice and adhering to relevant standards, including those standards relating to the Health and Disability Services (Safety) Act 2001.  Policies are reviewed two yearly with input from clinical managers and external expertise as required.  Clinical guidelines are in place to assist care staff.  Updates to policies are communicated to staff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quality-monitoring programme is designed to monitor contractual and standards compliance, and the quality of service delivery in each unit and across the facility.  There are clear guidelines and templates for reporting including internal audits, hazard management, risk management, incident and accident, infection control data collection and complaints management.  The facility has implemented established processes to collect, analyse and evaluate data, which is utilised for service improvements.  Results are communicated to staff across a variety of meetings (including unit specific) and reflected actions being implemented and signed off when completed.  A monthly trend analysis is posted up in staff rooms and document infection control graphs and incident/accident graphs such as falls, skin tears and bruises.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The health and safety representative interviewed confirmed her understanding of health and safety processes including law changes from 2016.  Two health and safety representatives have completed the external health and safety training.  A current risk management plan, hazard control and emergency policies and procedures are in place.  Hazards are identified, managed and documented on the hazard register.  Action plans were implemented to address issues raised.  There are procedures to guide staff in managing clinical and non-clinical emergencies.  Birchleigh documents and analyses incidents/accidents, unplanned or untoward events and provides feedback to the board and staff so that improvements are made.  Work safe recently reviewed Birchleigh’s processes for worker engagement, participation and representation.  The review identified there are good processes and training in place.  Staff culture includes an understanding that health and safety is everyone’s responsibility.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Accidents and incidents are analysed monthly with results discussed at monthly quality meetings and three-monthly staff meetings.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15 incident/accident forms from April 2019 identified that forms were fully completed and include follow-up by a registered nurse.  Neurological observations are carried out two-hourly for any suspected injury to the head.  The nurse manager is involved in the adverse event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managers were able to identify situations that would be reported to statutory authorities including (but not limited to) infectious diseases, serious accidents and unexpected death.  Two outbreaks have been reported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Fourteen staff files reviewed (three nurse managers, two registered nurses, six caregivers, a kitchenhand, one diversional therapist and one activities assistant) included a comprehensive recruitment process which included reference checking, signed employment contracts and job descriptions, police checks for recent starts, completed orientation programmes and annual performance appraisals.  Staff turnover is very low and reflects a positive workplace.</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implemented annual education and training plan that exceeds eight hours annually.  The nurse managers in each area hold overall responsibility for staff education.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proactive in working with staff to provide a supportive workplace.  Birchleigh ran a series of workshops on empowering positive working relationships where staff contributed to the development of a set of values for the organisation to live by.  With the support of the board, the values have been embedded into the ethos of the organisation providing a basis for employment related policies and procedures, employment contracts, and performance reviews.  Management, with the support of the board, have provided access to an employee assistance programme for staff counselling on both work and non-work-related issues.  In conjunction with this initiative, a staff survey identified potential concerns with staff relationships and workload.  As a result of the feedback, management arranged for an external consultant to work through the issues.  Positive changes were made to the way work was allocated.  A work safe review supported Birchleigh’s commitment to staff wellbeing.  While it is too early to identify the value of this initiative, it is expected to deliver positive outcomes for staff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There is a minimum of one RN on site at any time.  Activities are provided seven days a week.  The nurse managers each work 40 hours a week and provide on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Silverstream, the rest home unit, has 32 residents.  In addition to the nurse manager, an RN is rostered three mornings a week.  They are supported by five caregivers (one long and four short).  One of the short shifts works in a float position and is available to assist in the dementia unit.  A kitchen shift also assists with breakfast and morning tea from 8.30 am to 11.30 am.  There are three caregivers (one long and two short) on afternoon shift and one caregiver on night shift with a second float position shared between the rest home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Janefield the dementia unit has 20 residents.  The nurse manager works the day shift and is supported by five caregivers (two long and three short).  A kitchenhand works from 9.00 am to 1.00 pm and assists with morning tea and lunch.  There are three caregivers on afternoon shift (two long and one short) and one caregiver plus the float from the rest home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Braeside the hospital unit has 25 hospital residents and one rest home resident on the day of audit.  In addition to the nurse manager, an RN is rostered on each shift.  They are supported by four caregivers (three long and two short).  One of the short shifts works in a float position.  A kitchen shift also assists with breakfast and morning tea from 7.30 am to 1.30 pm.  There are four caregivers (two long and two short) on afternoon shift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Staff working on the days of the audit, were visible and attending to call bells in a timely manner as confirmed by all residents interviewed.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caregiver or nurse, including designation.  Individual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and relatives receive an information pack outlining services able to be provided, the admission process and entry to the service.  The nurse managers of each unit screen all potential residents prior to entry and record all admission enquiries.  All residents are assessed by the need’s assessment team prior to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received information prior to admission and had the opportunity to discuss the admission agreement with the nurse managers.  The admission agreement form in use, aligns with the requirements of the ARC contract.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interviewed described the nursing requirements as per the policy for discharge and transfers.  Residents who require emergency admissions to hospital are managed appropriately and relevant information is communicated to the DHB using the yellow envelope system.  The service ensures appropriate transfer of information occurs.  Relatives interviewed confirmed they were kept well informed about all matters pertaining to residents, especially if there is a change in the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blister packs for regular and or ‘as required’ (PRN) medications.  Medication reconciliation is completed by two RNs on delivery of medication and any errors are fed back to pharmacy.  All medications were securely and appropriately stored on day of audit.  There are weekly controlled drug checks in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were reviewed (six rest home, six hospital, and six dementia).  The service uses an electronic medication management system.  All charts reviewed had indications for use for all PRN medications.  The medication charts reviewed identified that the GP had seen and reviewed the resident three-monthly.  </w:t>
            </w:r>
          </w:p>
          <w:p w:rsidR="00EB7645" w:rsidRPr="00BE00C7" w:rsidP="00BE00C7">
            <w:pPr>
              <w:pStyle w:val="OutcomeDescription"/>
              <w:spacing w:before="120" w:after="120"/>
              <w:rPr>
                <w:rFonts w:cs="Arial"/>
                <w:b w:val="0"/>
                <w:lang w:eastAsia="en-NZ"/>
              </w:rPr>
            </w:pPr>
            <w:r w:rsidRPr="00BE00C7">
              <w:rPr>
                <w:rFonts w:cs="Arial"/>
                <w:b w:val="0"/>
                <w:lang w:eastAsia="en-NZ"/>
              </w:rPr>
              <w:t>The GP and RN/unit manager in the dementia unit regularly review polypharmacy and the use of antipsychotic medication and reduction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in regard to medicine administration.  Standing orders are not used.  There were no self-medicating residents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weekly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signed agreement with the pharmacy.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Birchleigh Residential Care Centre is provided by a contracted company.  The kitchen is located at the adjacent retirement village and transported across to the facility in hot boxes.  The meals are served to residents from small kitchens (one in each of the three units), which are located beside each dining room.  Bain maries are used in each servery to ensure that food is served hot.  The operations manager and the kitchen manager oversee the food service.  Food service manuals are in place to guide staff and include photographs of how meals are to be presented.  A resident dietary profile is developed for each resident on admission and is provided to the kitchen staff.  The kitchen is able to meet the needs of residents who need special diets and the cooks work closely with the RNs.  Kitchen staff have completed food safety training.  The cooks follow a rotating menu, which has been reviewed by a dietitian.  A food control plan is in place expiring on 30 April 2020.  The temperatures of refrigerators, freezers and cooked foods are routinely monitored and recorded.  There is special equipment available for residents if required.  All food is stored appropriately.  Residents and the family members interviewed were very happy with the quality and variety of food served.  The dementia unit is supplied with extra nutritious snacks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decision to prospective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nine resident files sampled contained long-term interRAI assessments.  Files sampled evidenced appropriate and timely re-assessment of interRAI assessments.  The interRAI outcomes were reflected in the long-term care plans.  Risk assessments were completed at least six monthly.  Behaviour assessments and management plans were included in the files reviewed of residents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reflected the outcomes of a range of assessment tools.  Interventions to support pressure injury (PI) prevention was documented for one resident with a grade 2 pressure injury, and residents at risk of developing pressure injuries.  Comprehensive end of life interventions were in place for the resident on exceptional circumstances contract.  InterRAI assessment caps and triggers were well linked and highlighted throughout the care plan.  There was documented evidence of resident/relative/whānau involvement in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available for use to document any changes in health needs with interventions, management and evaluations.  Short-term care plans reviewed had been evaluated at regular intervals.</w:t>
            </w:r>
          </w:p>
          <w:p w:rsidR="00EB7645" w:rsidRPr="00BE00C7" w:rsidP="00BE00C7">
            <w:pPr>
              <w:pStyle w:val="OutcomeDescription"/>
              <w:spacing w:before="120" w:after="120"/>
              <w:rPr>
                <w:rFonts w:cs="Arial"/>
                <w:b w:val="0"/>
                <w:lang w:eastAsia="en-NZ"/>
              </w:rPr>
            </w:pPr>
            <w:r w:rsidRPr="00BE00C7">
              <w:rPr>
                <w:rFonts w:cs="Arial"/>
                <w:b w:val="0"/>
                <w:lang w:eastAsia="en-NZ"/>
              </w:rPr>
              <w:t>Medical GP notes and allied health professional progress notes are evident in the resident’s integrated notes and on the electronic medicine charting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for a residents' change in health status were sighted in the resident’s files.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all current wounds.  There were two hospital residents with a facility acquired pressure injury (both superficial stage 2).  There were no wounds in the dementia unit, two wounds in the rest home unit (one chronic wound, and one skin tear), and four wounds in the hospital unit (two skin tears, one leaking lower leg due to oedema, and one cancerous lump).  GPs are notified of all wounds.  Adequate dressing supplies were sighted in the treatment rooms.  Staff receive regular education on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are not limited to): monthly weight, blood pressure and pulse, food and fluid charts, and behaviour charts, repositioning is recorded in the progress notes, and blood sugars and pain are recorded in the medication charts in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diversional therapist who works 35 hours a week and is based in the rest home.  She is supported by three activities coordinators.  Each resident has an assessment completed soon after admission, the activities care plan is developed using the information from the assessment.  All activities plans have been evaluated six monthly, attendance records are maintained, and monthly reports were documented in each residents file.  Each unit has a separate activity planner reflective of residents cognitive and physical abilities.  The activities programme is displayed on noticeboards around the facility, and in each resident room.  There are combined activities held in-house, and with another facility.  There are volunteers who visit the facility and assist with the activities programme.  Birchleigh own two vans; one can accommodate wheelchairs.  Van outings are provided weekly for each unit.  All activities staff have current first aid certificates.  There are three monthly resident and relatives’ meetings, which provide an opportunity for feedback and suggestions for the programmes.  Residents and relatives were complementary of the activities programme, and stated the programmes are varied.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unit are provided over six days a week each morning and afternoon.  There is a variety of group and individual activities such as balloon games, craft, baking and table tennis.  Individual activities include going for walks, creating memory boxes and hand massages.  Activities resources are available for staff to access.  There were 24-hour activity care plans documented in the three dementia resident files sampled.  Relatives and staff interviewed in the dementia unit, advised that the residents are frequently taken on walks outside and van outings weekly.  Music and pet therapy is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are evaluated by the registered nurses within three weeks of admission.  Long-term care plans reviewed had been evaluated by RNs six-monthly, or when changes to care occurred.  Written evaluations describe the residents progress against the residents (as appropriate) identified goals.  Short-term care plans were evaluated and either resolved or added to the long-term care plan as an ongoing problem.  Relatives are invited to attend the three-monthly reviews held with the GP and are notified of the outcome of the review if unable to attend.  Relatives interviewed confirmed they are invited to attend the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Examples of referrals sighted were to the needs assessment coordination service, palliative nurse specialist, physiotherapist, mental health support of the older persons (DHB), lymphedema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nurses initiate referrals to nurse specialists and allied health services.  Other specialist referrals are made by the GPs.  Referrals and options for care were discussed with relatives as evidenced in interviews and medical notes.  The staff provided examples of where a resident’s condition had changed, and the resident was reassessed.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There are designated areas for storage of cleaning/laundry chemicals and chemicals were stored securely.  Laundry and sluice rooms are locked when not in use, as observed during a tour of the facility.  Material safety datasheets were available, and the hazard register identifies hazardous substances.  Gloves, aprons, and goggles are available for staff.  Safe chemical handling training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There are designated areas for storage of cleaning/laundry chemicals and chemicals were stored securely.  Laundry and sluice rooms are locked when not in use, as observed during a tour of the facility.  Material safety datasheets were available, and the hazard register identifies hazardous substances.  Gloves, aprons, and goggles are available for staff.  Safe chemical handling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systems in place to ensure the physical environment and facilities are safe and fit for their purpose.  The facility has a current building warrant of fitness which expires on 3 March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undertaken by both internal maintenance personnel and external contractors.  Electrical safety test tag system shows this has occurred.  The facility is being maintained in good repair.  All maintenance records were reviewed and are clearly documented.  The maintenance person maintains a documented preventative and reactive maintenance schedule.  Water temperatures are monitored and within range.  </w:t>
            </w:r>
          </w:p>
          <w:p w:rsidR="00EB7645" w:rsidRPr="00BE00C7" w:rsidP="00BE00C7">
            <w:pPr>
              <w:pStyle w:val="OutcomeDescription"/>
              <w:spacing w:before="120" w:after="120"/>
              <w:rPr>
                <w:rFonts w:cs="Arial"/>
                <w:b w:val="0"/>
                <w:lang w:eastAsia="en-NZ"/>
              </w:rPr>
            </w:pPr>
            <w:r w:rsidRPr="00BE00C7">
              <w:rPr>
                <w:rFonts w:cs="Arial"/>
                <w:b w:val="0"/>
                <w:lang w:eastAsia="en-NZ"/>
              </w:rPr>
              <w:t>The wide corridors and rails promote safe mobility with the use of mobility aids and transferring equipment.  Residents were observed moving freely around the areas with mobility aids where required.  The external areas and gardens are well maintained.  There is outdoor furniture and seating and shaded areas.  There is safe wheelchair access to all areas.  There is an outdoor designated smoking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referred to in care plans necessary to provide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lounge area is designed so that space and seating arrangements provide for individual and group activities.  Seating is appropriate and designed to meet the consumer group.  There are quiet, low stimulus areas that provide privacy when required.  There is a safe and secure outside area that is easy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access to hand basins.  There are adequate numbers of communal toilets and shower rooms.  There are communal toilets located close to communal areas in the rest home, dementia and hospital areas.  All toilets have privacy locks, engaged/vacant signs are in use.  There is appropriate signage, easy clean flooring and fixtures and handrails appropriately placed.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in the bedrooms and enough space for the safe manoeuvring of mobility equipment.  Residents can personalise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area has a separate dining area which is set out to encourage social interaction at mealtimes.  The lounge area is suitable for entertainment and several smaller lounge areas with seating placed to provide quiet private areas for residents and their families.  There is a quiet library/reading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area provides a spacious open plan dining and lounge area that meets the needs of the consumer and observational requirements for care staff.  There is adequate space for activities persons to provide a group activity.  There is a family/whānau lounge available for private family visits, GP meetings and family meetings.  There are sofa beds in the room for family to stay overnight if desired.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layout provides for freedom of movement within a safe and secure environment.  There are external walking paths and internal space to allow wandering that is not obtrusive on other residents.  There is sufficient space within the open plan dining and lounge area to accommodate individual low stimulus activities and group activities.  Resident dining can be easily observed and supervised.  All lounge and dining areas can be observed from the nurses’ station.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cleaning and laundry policies and procedures in place.  Housekeeping staff are responsible for cleaning and laundry service.  There are sufficient staff allocated seven days a week to carry out these services.  All laundry and personal clothing is laundered on site.  Each unit has a small laundry for residents’ delicate and woollen personal clothing.  There are defined clean/dirty areas in all of the laundry areas.  There were adequate linen supplies sighted in the facility linen-store cupboards.  Internal audits monitor the effectiveness of laundry and cleaning processes.  Cleaners’ trolleys are stored in locked areas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There is a minimum of one first aid trained staff member on every shift and during outings.  The facility has an approved fire evacuation plan.  Fire drills take place every six months.  The facility has back up lighting, power and sufficient food, water and personal supplies to provide for its maximum number of residents in the event of a power outage.  There is a gas barbeque and spare gas bottles.  Electronic call bells were evident in resident’s rooms, lounge areas, and toilets/bathrooms.  There are emergency generators that can provide power to critical services.  These are tested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and bedrooms have adequate natural light with large windows and in some rest home rooms there are ranch sliders to the outdoors.  There are a variety of heating methods used to maintain a warm environment within the communal areas and bedrooms including heat pumps, panel heaters and under floor heating.  The temperature is thermostat controlled and can be individually adjusted in the resident bedrooms.  Residents and relatives interviewed advised that the bedrooms, lounges and other communal rooms are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Birchleigh has an established infection control programme.  The infection control programme, its content and detail, is appropriate for the size, complexity and degree of risk associated with the service.  The dementia unit nurse manager is the designated infection control nurse with support from the other nurse managers and registered nurses.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nurse manager at Birchleigh is the designated infection control (IC) nurse.  There are adequate resources to implement the infection control programme for the size and complexity of the organisation.  The IC nurse and IC team (comprising staff representatives) has good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previous IC nurses and IC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Birchleigh infection control manual.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 to a monthly infection summary.  This data is monitored and evaluated monthly and annually.  Outcomes and actions are discussed at staff meetings.  If there is an emergent issue, it is acted upon in a timely manner.  Reports are easily accessible to the nurse managers.  Since the previous audit there has been two outbreaks, both of which were reported and appropriately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were five residents using enablers (all hospital) and three residents using intermittent restraints during the audit (two hospital and one dementia).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 files were reviewed where an enabler was in use.  Voluntary consent and an assessment process were completed.  The enabler is linked to the resident’s care plan and is regularly reviewed.  Three resident files where restraint was in use were reviewed.  All required documentation was completed including assessments, consents and monitoring.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of the restraint coordinator (a registered nurse)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Three hospital level residents’ files where restraint was in use (lap belts) were selected for review.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(hospital nurse manager)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linked to the residents’ care plans.  Internal restraint audits measure staff compliance in following restraint procedures.  Each episode of restraint is monitored at pre-determined intervals depending on individual risk to that resident.  Monitoring is documented on a specific restraint monitoring form, evidenced in two resident files where restraint was being used.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evaluation includes the areas identified in 2.2.4.1 (a) – (k).  Evaluations are conducted monthly, and restraint use is discussed at restraint committee meetings three times a year and at clinical, staff, quality and management team meetings.  A review of three resident files identified that evaluations are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four-monthly facility-wide restraint meetings, monthly clinical meetings and monthly staff/quality meetings.  Meeting minutes include (but are not limited to) a review of the residents using restraints or enablers, updates (if any) to the restraint programme and staff education and training.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8"/>
        <w:gridCol w:w="1280"/>
        <w:gridCol w:w="6845"/>
        <w:gridCol w:w="2198"/>
        <w:gridCol w:w="13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are maintained by caregivers at the end of each shift.  Registered nurses document in the notes if there are concerns, changes in medications, following GP visits, and when an incident or infection has occurred, however there were not always regular reviews by a registered nurse documented consistently.  There are separate GP notes, the dietitian documents in the GP notes, there is separate physiotherapist and podiatrist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dementia files and two rest home files had no entries by the RNs for periods up to two months showing no evidence of RN input to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registered nurses document progress notes regularly to evidence assessment.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1863"/>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a result of personal experience and the opportunity to fully utilise Hospice services, Birchleigh identified an opportunity to improve the ability of staff to safely and sensitively deal with residents and families in the last days of life.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beginning of 2018, Birchleigh established a quality goal of improving the level of palliative care skills and knowledge of staff and improving the end days for residents and their families.  Education was provided through the Otago Community Hospice and included, (but was not limited to) management of pain, nausea and vomiting, dementia and delirium, skin management and physical comfort.  Staff also discussed communication advanced directives and involving the residents and their specific wishes and the dying process.  The training sessions (role specific) were attended by 95% of staff.  As a result, staff are able to readily recognise the varying stages of the dying process and reassure residents and families.  The service developed and published two leaflets for residents and families.  The first on understanding the dying process explains the physical changes and what can be done to help with each change.  The second for families and friends provides information on what happens when a loved one passes away, focusing on the time between and the resident leaving Birchleigh.  Both pamphlets are written in an easy to read and understand manner.</w:t>
            </w:r>
          </w:p>
          <w:p w:rsidR="00EB7645" w:rsidRPr="00BE00C7" w:rsidP="00BE00C7">
            <w:pPr>
              <w:pStyle w:val="OutcomeDescription"/>
              <w:spacing w:before="120" w:after="120"/>
              <w:rPr>
                <w:rFonts w:cs="Arial"/>
                <w:b w:val="0"/>
                <w:lang w:eastAsia="en-NZ"/>
              </w:rPr>
            </w:pPr>
            <w:r w:rsidRPr="00BE00C7">
              <w:rPr>
                <w:rFonts w:cs="Arial"/>
                <w:b w:val="0"/>
                <w:lang w:eastAsia="en-NZ"/>
              </w:rPr>
              <w:t>Many of the outcomes from this initiative are intangible, however on the day of audit the service provided several copies of correspondence from the families of residents who had died with specific reference to the support from all staff.  All supporting correspondence sighted was 100% positive.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Birchleigh Management Limited - Birchleigh Residential Care Centre</w:t>
    </w:r>
    <w:bookmarkEnd w:id="58"/>
    <w:r>
      <w:rPr>
        <w:rFonts w:cs="Arial"/>
        <w:sz w:val="16"/>
        <w:szCs w:val="20"/>
      </w:rPr>
      <w:tab/>
      <w:t xml:space="preserve">Date of Audit: </w:t>
    </w:r>
    <w:bookmarkStart w:id="59" w:name="AuditStartDate1"/>
    <w:r>
      <w:rPr>
        <w:rFonts w:cs="Arial"/>
        <w:sz w:val="16"/>
        <w:szCs w:val="20"/>
      </w:rPr>
      <w:t>6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