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Little Sisters of The Poor Aged Care New Zealand Limited - St Joseph's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Little Sisters of The Poor Aged Care New Zealand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Joseph's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May 2019</w:t>
      </w:r>
      <w:bookmarkEnd w:id="7"/>
      <w:r w:rsidRPr="009418D4">
        <w:rPr>
          <w:rFonts w:cs="Arial"/>
        </w:rPr>
        <w:tab/>
        <w:t xml:space="preserve">End date: </w:t>
      </w:r>
      <w:bookmarkStart w:id="8" w:name="AuditEndDate"/>
      <w:r w:rsidR="00A4268A">
        <w:rPr>
          <w:rFonts w:cs="Arial"/>
        </w:rPr>
        <w:t>14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Joseph’s Home and Hospital provides care for up to 31 residents requiring hospital (geriatric and medical) and rest home level care.  On the day of the audit, there were 30 residents.  The service is overseen by a manager, who is a Mother Superior and is experienced for the role.  She is supported by a nurse manager and assistant manager.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 xml:space="preserve">This audit has identified that twelve improvements are required in relation to the complaints register, collating and discussing data with staff, corrective action plans, new staff orientation, staff education, timeframes, implementation of care, aspects of medication management, hot water monitoring, the call bells, restraint assessments, and review of the restraint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The service functions in a way that complies with the Health and Disability Commissioner’s Code of Consumers’ Rights (the Code).  The cultural and spiritual needs of residents are being met.  Families are kept informed of any changes to the status of the resident.  Information on informed consent is included in the admission agreement and discussed with residents and relatives.  Residents and families are made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a service philosophy and measurable goals that are regularly reviewed.  Quality activities are conducted.  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 xml:space="preserve">Input from residents and families is regularly sought.  An education and training programme is established.  Appropriate employment processes are adhered to and employees have a staff appraisal completed on an annual basis.  </w:t>
      </w:r>
    </w:p>
    <w:p w:rsidRPr="00A4268A">
      <w:pPr>
        <w:spacing w:before="240" w:line="276" w:lineRule="auto"/>
        <w:rPr>
          <w:rFonts w:eastAsia="Calibri"/>
        </w:rPr>
      </w:pPr>
      <w:r w:rsidRPr="00A4268A">
        <w:rPr>
          <w:rFonts w:eastAsia="Calibri"/>
        </w:rPr>
        <w:t xml:space="preserve">A roster provides appropriate coverage for the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is responsible for the provision of care and documentation at every stage of service delivery.  Sufficient information is gained through the initial support plans, specific assessments, discharge summaries, and the care plans to guide staff in the safe delivery of care to residents.  The care plans are resident, and goal orientated.  Files sampled identified integration of allied health and a team approach is evident in the overall resident file.  There is a review by the general practitioner at least every three months.  </w:t>
      </w:r>
    </w:p>
    <w:p w:rsidRPr="00A4268A" w:rsidP="00621629">
      <w:pPr>
        <w:spacing w:before="240" w:line="276" w:lineRule="auto"/>
        <w:rPr>
          <w:rFonts w:eastAsia="Calibri"/>
        </w:rPr>
      </w:pPr>
      <w:r w:rsidRPr="00A4268A">
        <w:rPr>
          <w:rFonts w:eastAsia="Calibri"/>
        </w:rPr>
        <w:t xml:space="preserve">The activities team implement a varied activity programme to meet the individual needs, preferences and abilities of the residents.  The programme encourages the maintenance of community links.  There are regular entertainers, outings, and celebrations.  </w:t>
      </w:r>
    </w:p>
    <w:p w:rsidRPr="00A4268A" w:rsidP="00621629">
      <w:pPr>
        <w:spacing w:before="240" w:line="276" w:lineRule="auto"/>
        <w:rPr>
          <w:rFonts w:eastAsia="Calibri"/>
        </w:rPr>
      </w:pPr>
      <w:r w:rsidRPr="00A4268A">
        <w:rPr>
          <w:rFonts w:eastAsia="Calibri"/>
        </w:rPr>
        <w:t xml:space="preserve">Staff who administer medication have an annual competency assessment.  Medication charts are reviewed three-monthly by the general practitioner.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accommodated.  All meals and baking are cooked on site.  This includes consideration of any particular dietary preferences or needs.  There is a four-week rotational menu that is reviewed by a dietitian.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Appropriate information and equipment for responding to emergencies are provided.  There is an approved evacuation scheme and emergency supplies for at least three days.  There is a first aider on duty at all times.  </w:t>
      </w:r>
    </w:p>
    <w:p w:rsidRPr="00A4268A">
      <w:pPr>
        <w:spacing w:before="240" w:line="276" w:lineRule="auto"/>
        <w:rPr>
          <w:rFonts w:eastAsia="Calibri"/>
        </w:rPr>
      </w:pPr>
      <w:r w:rsidRPr="00A4268A">
        <w:rPr>
          <w:rFonts w:eastAsia="Calibri"/>
        </w:rPr>
        <w:t>The building holds a current building warrant of fitness.  Ongoing maintenance issues are addressed.  Chemicals are stored safely throughout the facility.  Appropriate policies and product safety charts are available.  All resident rooms have ensuites.  There is sufficient space to allow for the freedom of movement of residents using mobility aids.  The internal areas are well ventilated and heated.  External areas are safe and well maintained with sufficient shade and seating available.  Fixtures, fittings and flooring are appropriate and toilet/shower facilities are constructed for ease of cleaning.  Cleaning and laundry services are monitored through the internal auditing system.  Emergency management systems are being implemented.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St Joseph’s has restraint minimisation and safe practice policies and procedures in place.  The nurse manager is the designated restraint coordinator.  On the day of audit, there were six residents using a restraint and six residents using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management-systems are in place to minimise the risk of infection to residents, staff and visitors.  A designated infection control nurse has completed regular infection control training in relation to her role.  The type of surveillance undertaken is appropriate to the size and complexity of the service.  Standardised definitions are used for the identification and classification of infection events.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6</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8</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52"/>
        <w:gridCol w:w="1280"/>
        <w:gridCol w:w="91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Services Consumers’ Rights (the Code) policy and procedure is being implemented.  Discussions with management and staff (five caregivers, two registered nurses, two activities coordinators, one cook, one maintenance, one laundry, one human resources, the nurse manager and mother superior (manager)) confirmed their familiarity with the Code.  Interviews with six residents (one rest home and five hospital) and four families (all hospital)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resuscitation.  Completed resuscitation forms were evident in all six resident files reviewed.  There was evidence of general practitioner (GP) completed and signed clinically not indicated resuscitation status.  General consent forms were evident on all files reviewed.  Discussions with staff confirmed that they are familiar with the requirements to obtain informed consent for entering rooms and personal care.  Signed admission agreements, enduring power of attorney and activation documentation were evident in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residents and families identified that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 the foyer.  A suggestion box is located in a prominent position at reception.  Information about complaints is provided on admission.  Interviews with residents and families demonstrated their understanding of the complaints process.  They confirmed that any issues are addressed, and they feel comfortable to bring up any concerns.  There was no evidence to suggest that complaints received were linked to the quality and risk management system (link 1.2.3.6 and 1.2.3.8).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Verbal and written complaints are recorded in a complaint register.  There were three complaints logged in the register for 2018 and two for 2019 (year to date).  All five complaints reflected evidence on the register of being resolved.  Missing was evidence that each complaint had followed policy and HDC guidelines around acknowledgment of the complaint, evidence of an investigation and follow-up with the complainant including informing them of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and leaflets are available in the foyer of the facility.  The service is able to provide information in different languages and/or in large print if requested.  Information is given to next of kin or enduring power of attorney (EPOA) to read with the resident and discuss.  On entry to the service, the information pack is reviewed in detail with the resident and the family/whānau.  The information pack includes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All residents interviewed stated their needs in regard to maintaining independence, privacy, dignity and respect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spiritual care.  Mass is conducted daily in the chapel and sisters of the order are available at all times.  All residents and families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to help meet the cultural needs of its residents.  There is a Māori health plan.  Cultural needs were addressed in care plans sampled.  There were no residents who identified as Māori at the time of the audit.  Cultural and spiritual practice is supported, and identified needs are incorporated into the care planning process and reviewed as demonstrated in resident files sampled.  Discussions with staff confirmed that they are aware of the need to respond to cultural differences.  A whānau room provides space for family/whānau to meet.  One resident and family member interviewed recalled using the whānau room with all their family, where a meal was served for everyone.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Information gathered during assessment, including residents’ cultural beliefs and values, is used to develop a care plan that the resident (if appropriate) and/or their family/whānau are asked to consult 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RNs supervise staff to ensure professional practice is maintained in the service.  The abuse and neglect policy covers harassment and exploitation.  All residents interviewed reported that staff respected them.  Job descriptions include responsibilities of the position, ethics, advocacy and legal issues.  The employee agreement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aligns with the health and disability services standards for residents with aged care needs.  Residents interviewed spoke very positively about the care and support provided.  </w:t>
            </w:r>
          </w:p>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A house general practitioner (GP) visits the facility once per week.  The service receives support from the local district health board (DHB).  Physiotherapy services are available twelve hours per week and lead the residents in group exercise classes three times a week.  A podiatrist visits every six weeks and a hairdresser is on site once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Fifteen incident/accident forms reviewed identified that family notification is consistently being documented.  Families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required.  Staff and families are used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Joseph’s is owned and operated by the Little Sisters of the Poor.  The service provides rest home and hospital level (geriatric and medical) care for up to 31 residents.  On the day of the audit, there were 30 residents (2 rest home level and 27 hospital level).  Twenty-six were under the age-related residential care (ARRC) contract and one (hospital level) was under a mental health contract.  </w:t>
            </w:r>
          </w:p>
          <w:p w:rsidR="00EB7645" w:rsidRPr="00BE00C7" w:rsidP="00BE00C7">
            <w:pPr>
              <w:pStyle w:val="OutcomeDescription"/>
              <w:spacing w:before="120" w:after="120"/>
              <w:rPr>
                <w:rFonts w:cs="Arial"/>
                <w:b w:val="0"/>
                <w:lang w:eastAsia="en-NZ"/>
              </w:rPr>
            </w:pPr>
            <w:r w:rsidRPr="00BE00C7">
              <w:rPr>
                <w:rFonts w:cs="Arial"/>
                <w:b w:val="0"/>
                <w:lang w:eastAsia="en-NZ"/>
              </w:rPr>
              <w:t>All rooms are dual-purpose and can swing to either rest home or hospital level of care.  The manager is a sister of the order.  She is new to her role in managing an aged care service but has many years of experience working in aged care facilities in New Zealand and overseas.  The nurse manager/registered nurse (RN) is also new to the role of nurse manager.  She was employed in August 2018 and has worked in the aged care environment for the past four years.  Two of those years have been as a charge nurse.</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philosophy of care, which includes a mission statement, core values, and objectives.  St Joseph’s Home and Hospital has a 2018-2019 business/strategic plan with annual goals that are regularly reviewed.  The managers have each completed a minimum of eight hours of professional development over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manager, the assistant manager who is a member of the religious congregation is in charge, with support from the nurse manager, registered nurses and care staff.  The nurse manager is supported by four permanent nursing staff in her absence.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programme is established but has not been fully implemented since there was changes to the management team (there have been three different nurse managers over the past 18 months).  The monthly collating and analysis of quality and risk data includes monitoring accidents and incidents and infection rates although communicating results to staff is lacking.  Internal audits regularly monitor compliance but where improvements are identified, corrective action plans are missing.  Annual resident satisfaction surveys are completed but there is a lack of evidence to reflect the collation and trending of results.  Data is collected in relation to a variety of quality activities and an internal audit schedule has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the analysis of falls events and the identification of interventions on a case-by-case basis to minimise future falls.  The service's policies are reviewed at least every two years with the last review taking place in March 2019.  Staff have access to policies and procedures.  A system of document control is in place with evidence of regular reviews.    </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risk management, and health and safety policies and procedures in place including accident and hazard management.  The health and safety officer (human resources officer) has been in the role for nine months and has completed stage two health and safety training.  The health and safety committee consists of the manager (mother superior), one RN and two caregivers, maintenance, laundry, kitchen and an assistant to the manager.  Meeting minutes are taken.  Maintenance orientates new contractors to the health and safety programme.  Staff are trained in health and safety during their orientation (link 1.2.7.4).  Hazard registers are monitored monthly.  Examples were provided of hazards identified and actions taken to minimise the risk of injury (eg, covers for boiling water on bain maries, temporary measures taken while fencing was being repaired).  Staff receive manual handling training by a physiotherapist.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 registered nurse conducts a clinical follow-up of each adverse event.  The nurse manager investigates all accidents and near misses and analyses results (link 1.2.3.6).  Fifteen incident forms reviewed for 2019 demonstrated that an investigation occurred following incidents and that family were informed.  This included falls, skin tears, and wandering.  Missing was consistent evidence clinical follow-up has been undertaken if there was a suspected injury to the head (link 1.3.6.1).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nurse manager confirmed that there is an awareness of the requirement to notify relevant authorities in relation to essential notifications.  This has not been required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are completed to validate the individual’s qualifications, experience and veracity.  A copy of practising certificates for health professionals is maintained.  Seven staff files were reviewed (one nurse manager, two staff registered nurses, one cook and three caregivers).  The service has an orientation programme in place that provides new staff with relevant information for safe work practice, but staff are not returning their paperwork to evidence the orientation programme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2018 and 2019 has not been fully implemented.  The registered nurses attend external training including sessions provided by the local DHB.  All seven RNs have completed their interRAI training.  Annual staff appraisals were evident in all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includes staff rationale and skill mix.  Sufficient staff are rostered on to manage the care requirements of the residents.  The nurse manager is available five days a week (Monday –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30 residents (2 rest home level and 27 hospital level).  There is a minimum of one staff registered nurse on at any one time.  Three long shifts and two short shift caregivers are scheduled for the AM shift, two long shifts and two short shifts for the PM shift and one for the night shift.  Agency staff are used when required to fill vacancies.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members identified that call bells are not being answered in a timely manner (link 1.4.7.5).  Caregivers interviewed confirmed that they are doing hoist transfers by themselves due to other caregivers being too busy to help them (link 1.3.6.1).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files are appropriate to the service type.  Residents entering the service have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Other residents or members of the public cannot view sensitive resident information.  Entries in records are legible, dated and signed by the relevant caregiver or registered nurse, including their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comprehensive policies and procedures in place to safely guide service provision and entry to service.  Referring agencies establish the appropriate level of care required prior to the admission of the resident.  The service provided residents and family with a well-developed information pack outlining entry to the service, the admission process and the services provided.  Residents and relatives interviewed stated they were well informed upon admission and had the opportunity to discuss the admission agreement with the manager.  The admission agreements reviewed meet the requirements of the aged residential care contract (ARCC).  Exclusions from the service are included in the admission agreement.  All six admission agreements viewed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comprehensive policies in place to address death, discharge, transfer, documentation and follow-up.  Residents who require admission to hospital are managed appropriately and relevant information is communicated to the DHB.  All relevant information is documented and communicated to the receiving health provider or service.  A transfer form accompanies residents to receiving facilities and communication with family is made.  A record of transfer documentation is kept on the resident’s file.  Evidence of transfer documentation was sighted on two of the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There were no residents self-administering on the day of audit.  There is one medication room on site with secured keypad access.  All eye drops were dated on opening.  The fridge storing medication in the treatment rooms, did not have daily temperature checks documented.  There was a signed agreement with the pharmacy.  Medications are checked on arrival and any pharmacy errors recorded and fed back to the supplying pharmacy.  The facility uses a blister pack medication management system for the packaging of all tablets.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administer medications.  Medication competencies for the RN’s were up to date, but annual medication in-service training was not evidenced (link 1.2.7.5).  The facility is currently using an electronic medication system.  GPs prescribe medication electronically.  Prescribed medication administered is signed electronically as observed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reviewed.  All charts had photo identification and allergy status documented.  All medication sheets evidenced three monthly reviews by the GP.  Effectiveness of PRN medications administered were documented in the electronic prescriptions.  Controlled drugs and registers align with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 site.  The service employs one chef and one kitchenhand Monday to Friday and one cook and one kitchenhand at the weekend.  The kitchen staff have all completed food safety training.  There is a kitchen manual and a range of policies and procedures to safely manage the kitchen and meal services.  The weekday chef oversees the procurement of the food and management of the kitchen.  Kitchen fridge, food and freezer temperatures were monitored and recorded weekly.  These were all within safe limits.  Menu boards in the dining room were updated daily by the kitchen staff.  Meals are served from bain maries in the two dining rooms.  Special equipment such as lipped plates is available.  On the day of audit, meals were hot and well presented.  The Sisters of the Order and volunteers assist with the table set up and feeding of the residents during the mealtimes.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that identifies dietary requirements and likes and dislikes.  This is reviewed six-monthly as part of the care plan review.  Changes to residents’ dietary needs are communicated to the kitchen.  The kitchen is able to meet the needs of residents who require special diets.  Special diets and likes and dislikes were noted in a kitchen folder.  Residents were offered choices for evening meals and that was accommodated by the kitchen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dietitian has audited and approved the menus.  The service has a current food control plan in place.  Residents and families interviewed were very happy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decision to potential residents/family and the referring agency.  The reasons for declining entry would be if the service is unable to provide the assessed level of care or there are no beds available.  Potential residents declined would be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level of care of all residents is established by a need’s assessment prior to admission.  The registered nurse completes an initial assessment on admission that is utilised to develop the initial care plan.  An interRAI and other relevant assessments are undertaken to establish resident needs (link 1.3.3.3).  Ongoing assessments are done in consultation with the multidisciplinary team and significant others.  Additional assessments for management of behaviour and wound care were appropriately completed according to needs identified.  Initial assessments were in place in all six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care plans reviewed evidenced multidisciplinary involvement in the care of the resident.  Overall care plans were resident centred and documented support needs to achieve the resident/relative goals (link 1.3.6.1).  Short-term care plans were in use for changes in health status and were evaluated on a regular basis and signed off as resolved or transferred to the long-term care plan if an ongoing problem.  Residents and family interviewed stated they are involved in the care planning process.  There was evidence of service integration with documented input from a range of specialist care professionals including the podiatrist, geriatrician, gerontology nurse practitioner and hospice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and caregivers follow the care plan and report progress against the care plan at each shift handover.  Overall care plans reviewed included documentation that meets the needs of the residents and care plans had been updated as residents’ needs changed.  When a resident’s condition alters, the RN initiates a review and if required, GP consultation.  RNs interviewed confirmed that changes in care are documented on progress notes and are communicated at handover.  Family members interviewed confirmed they are notified of any changes in their relative’s health status.  Family and residents stated care delivery and support by staff is consistent with their expectations.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Adequate dressing supplies were sighted in the treatment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management policies and procedures are in place.  Wound assessment and treatment forms, ongoing monitoring and evaluation forms were in place.  Wound management plans were in place for one resident that had two wounds (skin tear and abrasion).  Both had appropriate care documented and provided.  Access to specialist advice and support is available as needed through Auckland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for weight, observations, wounds and vital signs.  Behaviour charts were in use for any residents that exhibit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Acute care plans document appropriate interventions to manage short-term changes in health.  Nephrostomy catheter changing documentation was incomplete on one resident that had a nephrostomy tube in place.  Neurological observations had not been completed for two residents with unwitnessed falls as per policy.</w:t>
            </w:r>
          </w:p>
          <w:p w:rsidR="00EB7645" w:rsidRPr="00BE00C7" w:rsidP="00BE00C7">
            <w:pPr>
              <w:pStyle w:val="OutcomeDescription"/>
              <w:spacing w:before="120" w:after="120"/>
              <w:rPr>
                <w:rFonts w:cs="Arial"/>
                <w:b w:val="0"/>
                <w:lang w:eastAsia="en-NZ"/>
              </w:rPr>
            </w:pPr>
            <w:r w:rsidRPr="00BE00C7">
              <w:rPr>
                <w:rFonts w:cs="Arial"/>
                <w:b w:val="0"/>
                <w:lang w:eastAsia="en-NZ"/>
              </w:rPr>
              <w:t>Hoist transfers are being done occasionally by one caregiver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one activities coordinator who works 20 hours (Monday through to Friday).  A Sister of the Order assists with the programme.  A physiotherapist conducts the morning group exercise programme three times a week.  There are numerous volunteers that support the activities programme on a daily basis to assist with reading, manicures and pamper sessions.  On the day of the audit residents were observed being involved in the morning exercise programme and playing housie in the hall.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activity programme comprises of a music hour, hand massages, spiritual sharing and reading.  There are weekly scenic drive outings and movie sessions on a Saturday afternoon in the hall.  Special events such as Mother’s Day, birthdays and Easter are celebrated.  On Thursdays the activity coordinator and volunteers assist the residents to bake scones and enjoy a morning tea.  The last Sunday of every month is dedicated to welcoming new residents to the facility.  A weekly newsletter is printed and emailed to all residents and family, this includes the weekly activities programme and facility related news.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 files sampled evidenced an activity assessment completed on admission, and an individualised activity plan based on the assessment.  The activity plan is evaluated at least six-monthly when the long-term care plan is evaluated.  Residents that displayed challenging behaviour had individual 24-hour programmes in place to guide the staff.  Residents and families interviewed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have been reviewed at various times depending on health status.  There is documented evidence that care plan evaluations are completed, however these have not always been completed following the six monthly interRAI reassessment (link 1.3.3.3).  The GP reviews the residents at least three monthly or earlier if required.  The multidisciplinary review team includes the nurse manager, RN, caregivers and the resident/relative and any other allied health professional involved in the care of the resident.  Short-term care plans for short-term needs were evaluated and signed off as resolved or were added to the long-term care plan as an ongoing problem.  Activities plans were in place for each resident and these are evaluated at the same time as the care plans.  Residents and family members interviewed confirmed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medical and non-medical services.  Referral documentation is maintained on resident files.  In the files sampled there was evidence of referrals to mental health services for older people and the podiatrist.  The nurse manager initiates referrals to nurse specialists and allied health services, all other specialist referrals are made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policies in place to guide staff in chemical safety and waste management.  Management of waste and hazardous substances is covered during orientation and staff have attended chemical safety training.  Chemicals sighted were clearly labelled with manufacturer’s labels and stored safely throughout the facility.  Safety data sheets and product sheets are available.  Sharps containers are available and meet the hazardous substances regulations for containers.  A hazard register identifies hazardous substances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that expires on 8 April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maintenance person employed to address reactive and preventative maintenance.  All medical and electrical equipment had been tested and tagged.  Chair scales were available and have been calibrated and tagged.  Equipment that is not in use have designated storage areas that are located in the closed cupboards for easy access to staff.  There was a planned maintenance programme in place.  Hot water temperatures in resident areas have not been monitored regularly.  Water temperature check last noted was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areas, hallways and resident rooms are carpeted.  All ensuites have nonslip vinyl flooring.  Utility areas such as the kitchen, laundry and sluice rooms have vinyl flooring.  Hallways are very wide and have safety rails and promote safe mobility while using mobility aids.  The facility has enough space for residents to mobilise using mobility aids and residents were observed moving around freely.  The external areas and gardens were well maintained.  Residents have access to safely designated external areas that have seating and shade.  Staff stated they had sufficient equipment to safely deliver care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three vehicles to provide transport to residents and for staff usage.  All three vehicles had current vehicle warrant of fitness and registration.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large ensuites.  Fixtures, fittings and flooring is appropriate and toilet/shower facilities are constructed for ease of cleaning.  There is ample space in all ensuites to accommodate shower chairs and hoists if appropriate.  There are communal toilets near lounges.  The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spacious to allow care to be provided and for the safe use of mobility aids.  Residents are encouraged to personalise their bedrooms as viewed on the day of audit.  Staff interviewed reported that they have more than adequate space to provide care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numerous spacious communal areas throughout the facility.  Activities as observed on the day of the audit are held in the lounges, chapel and hall.  The lounges are large enough so there is no impact on other residents who are not involved in activities.  The arrangement of seating and space allows both individual and group activities to occur.  There was a designated activity room where residents, volunteers and the activity coordinator bake scones and host the morning tea.  There are smaller lounges where residents who prefer quieter activities or visitors may sit.  The dining rooms are spacious, and the décor is very attractive and homely.  There are small kitchenettes located within the facility for family and visitors to make a cup of tea or coffee.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cleaning and laundry manual to guide staff.  Safety data sheets are available.  The cleaners’ equipment was attended-to at all times or locked away in the laundry.  Chemicals bottles on the trolley had manufacturer labels.  Contracted staff do cleaning.  There are two sluice rooms for the disposal of soiled water or waste.  The sluice rooms and the laundry were locked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on site.  The laundry is spacious and well organised and divided into a ‘dirty and clean’ area.  The laundry staff member interviewed stated that laundry service is adequately managed with the assistance of volunteers.  The laundry staff member could describe appropriate systems for managing infectious laundry.  Safety data sheets were in place.  All chemicals were stored in a locked cupboard.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Civil defence supplies, adequate food and water, and a gas barbeque for alternative cooking are available.  In the event of a power cut, there is emergency lighting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monthly fire evacuations are held.  There is an approved fire evacuation plan.  There have been no building changes since the previous audit.  There is a first aider on duty at all times.  Residents’ rooms and communal areas have call bells, but the electronic call bell system is reported as not working effectively due to poor Wi-Fi access in the building.   </w:t>
            </w:r>
          </w:p>
          <w:p w:rsidR="00EB7645" w:rsidRPr="00BE00C7" w:rsidP="00BE00C7">
            <w:pPr>
              <w:pStyle w:val="OutcomeDescription"/>
              <w:spacing w:before="120" w:after="120"/>
              <w:rPr>
                <w:rFonts w:cs="Arial"/>
                <w:b w:val="0"/>
                <w:lang w:eastAsia="en-NZ"/>
              </w:rPr>
            </w:pPr>
            <w:r w:rsidRPr="00BE00C7">
              <w:rPr>
                <w:rFonts w:cs="Arial"/>
                <w:b w:val="0"/>
                <w:lang w:eastAsia="en-NZ"/>
              </w:rPr>
              <w:t>Security policies and procedures are documented and implemented by staff.  There is security lighting at night and access to the building is by call bell and intercom.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underfloor heating in all areas.  The facility has ample natural light and ventilation.  A resident room visited on the day of audit had large external windows that open, allowing plenty of light.  St Josephs is a smoke free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Joseph’s has an established infection control programme.  The infection control programme, its content and detail, is appropriate for the size, complexity and degree of risk associated with the service.  A registered nurse is the designated infection control coordinator with support from all staff and management.  Infection notifications are linked into the incident reporting system.  The monthly infection control statistics were displayed on a noticeboard in the nurse’s station.  Minutes from the staff meetings did not reflect infection control data being communicated to staff (link 1.2.3.6). </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for infection control are included in the annual audit schedule.  Corrective action plans based on audit findings have not been documented or implemented to address the areas requiring improvement (link 1.2.3.8).  Education is provided for all new staff on orientation and existing staff, topics included are food safety, infection control principals and PPE.  The most recent infection control training took place in 2018.  The infection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 the size and complexity of the organisation, there are adequate resources to implement the infection control programme.  A registered nurse is the designated infection control (IC) coordinator.  The IC coordinator and IC team has good external support from the local laboratory infection control team and IC nurse specialist at the DHB.  Infection prevention and control is part of staff orientation and induction (link 1.2.7.4).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suite of infection control policies and procedures are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The orientation package included specific training around hand hygiene, standard precautions and a hand washing competency is to be completed (link 1.2.7.4).  Ongoing formal infection control education for staff had occurred on safe food handling, PPE and infection control principals in 2018.  The infection control coordinator had completed online infection control updates.  Visitors are advised of any outbreaks of infection and are advised not to attend until the outbreak has been resolved.  Information is provided to residents and visitors that is appropriate to their needs and this is documented in medical records and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(link 1.2.3.6).  Short-term care plans have been used for all residents diagnosed with an infection.  Surveillance of all infections are entered onto a monthly infection summary.  This data was monitored and evaluated monthly and annually.  If there is an emergent issue, it is acted-upon in a timely manner.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six hospital level residents with restraint and six hospital level residents with an enabler.  The nurse manager is the designated restraint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enabler files were reviewed.  One of the residents using an enabler was actually using a restraint (link 2.2.2.1).  In the second enabler file reviewed, it was documented that enabler use was voluntary with consent provided by the resident.  All necessary documentation had been completed in relation to the enabler (eg, assessment, link to the resident’s care plan, six monthly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guidance has been given on restraint minimisation and safe practice (RMSP), enabler usage and prevention and/or de-escalation techniques.  Education on RMSP/enablers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nurse manager is the restraint coordinator.  The assessment and consent process for restraint use includes the restraint coordinator, registered nurses, resident 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process is established for the completion of assessments for residents who require restraint or enabler interventions.  These are undertaken by suitably qualified and skilled staff, in partnership with the family/whānau.  In the four files reviewed, assessments and consents were missing for one resident who was being restrained in a lazy boy chair and for one resident who was being restrained with bedrails, although this was documented as an enabler.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minimisation policies and procedures identify that restraint is to be put in place only where it is clinically indicated and justified, and approval processes are obtained/met (link 2.2.2.1).  Monitoring forms documented regular monitoring of the use of the restraint at the frequency determined by the risk level.  The service has a restraint and enablers register.  There were two lap belts and six bedrails used as enablers for six residents and one lap belt and six bedrails used as restraints for six residents.  One file of a resident using restraint did not have this documented in their care plan (link 1.3.6.1).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evaluation of restraint every six months.  In the files reviewed, evaluations had been completed with the resident, family/whānau and restraint coordinator.  Restraint practices are reviewed every month by the restraint coordinator.  Evaluation timeframes are determined by policy and risk levels.  Any adverse outcomes resulting from the use of restraint would be reported via the adverse event reporting process.  None were identified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policies and procedures two-yearly as part of their document control process but there is no evidence of a review of the restraint minimisation programme, including a review of staff education around restraint minimisation (link 1.2.7.5).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458"/>
        <w:gridCol w:w="1280"/>
        <w:gridCol w:w="3400"/>
        <w:gridCol w:w="3197"/>
        <w:gridCol w:w="16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being maintained but does not include necessary details around acknowledgement of the complaint, an investigation (if required) and informing the complainant of the outcome in a formal manner although all complaints were documented as resolved.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for 2018 and 2019 (year to date) failed to include all actions taken (eg, acknowledgement of the complaint, investigation of the complaint).  All of these complaints were documented as resolved.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complaints register includes not only the complaint, but all dates and actions taken.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is regularly collected with graphs indicating trends in data (eg, falls, infections).  Meeting minutes are documented, recording information discussed in various staff meetings, but meeting minutes do not include evidence of the quality data that is being collected and collated.  Staff interviews confirmed that these meeting minutes are also not available to read if they miss a meeting.  Annual resident surveys are completed with the most recent survey taking place in August 2018.  The individual comments from residents who suggested improvements were addressed, but there was no evidence that all results had been collated and trended to identify areas for improvements.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Meeting minutes do not reflect evidence of quality results being communicated to staff (eg, internal audit results, adverse events, infections).</w:t>
            </w:r>
          </w:p>
          <w:p w:rsidR="00EB7645" w:rsidRPr="00BE00C7" w:rsidP="00BE00C7">
            <w:pPr>
              <w:pStyle w:val="OutcomeDescription"/>
              <w:spacing w:before="120" w:after="120"/>
              <w:rPr>
                <w:rFonts w:cs="Arial"/>
                <w:b w:val="0"/>
                <w:lang w:eastAsia="en-NZ"/>
              </w:rPr>
            </w:pPr>
            <w:r w:rsidRPr="00BE00C7">
              <w:rPr>
                <w:rFonts w:cs="Arial"/>
                <w:b w:val="0"/>
                <w:lang w:eastAsia="en-NZ"/>
              </w:rPr>
              <w:t>ii) Meeting minutes are not posted for staff to read if they miss the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Although individual comments were addressed in the last resident survey results, they were not collated and analysed to identify trends and possible areas for improvements.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meeting minutes reflect quality results being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ii)  Ensure meeting minutes are readily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iii) Ensure resident satisfaction survey results are collated and analysed to ensure that areas requiring improvements are identified.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internal audits indicate where improvements are required, but there is no evidence that these improvements have been implemented via a corrective action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out of nine internal audits completed over the past year indicated that improvements were required (restraint minimisation, environmental safety, staff survey results) but corrective action plans were not developed to address these areas.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 plans are developed where areas for improvements are identified.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New staff are provided with an orientation programme.  Interviews with staff confirmed that their orientation programme was sufficient to allow them to work independently.  Missing was evidence in staff files that the orientation programme was being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Six of nine staff files reviewed failed to evidence completion of their orientation programme (sample expanded to include two staff employed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ii) The orientation competency checklist for caregivers and registered nurses has not been differentiated.  Both checklists are the same.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evidence is retained of staff completing an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the orientation programme is specific to the new employee’s job role and responsibilities.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Annual education schedules have been developed but have not been fully implemented over the past two years.  The nurse manager confirmed her awareness of this gap in staff training and states that plans are in place to begin staff training later in the month.  There is also a lack of evidence to indicate that caregivers are provided information on Careerforce training opportunities.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2019 education schedule has been documented for the service but has not yet commenced.  In-services are scheduled to begin at the end of May 2019.  Only five hours of in-service education were provided in 2018 as indicated in the education log book (hazard reporting, infection control, food safety, last days of life, and one attendance record that did not indicate what topics were covered).  Caregivers and RNs reported that in-service education has been lacking over the past 18 months and that they would like to have more in-service education.  Caregivers interviewed were unaware of any Careerforce training programmes available.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regular in-service education is provided for staff and that it meets DHB contract requirements.  Caregiver staff also need to be made aware of how they can enrol in a Careerforce training programme.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Medications are received from the pharmacy and stored in the treatment rooms.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daily temperature checks for the medication fridge in the treatment room were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regular medication fridge temperature checks are completed daily and documented at least weekly.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reviewed had an initial assessment and care plan completed within 24 hours of admission.  In one of the long-term files reviewed, the interRAI assessment and care plan was not developed within 21 days of admission.  In three of the files reviewed, the interRAI assessments and care plan evaluations were not completed six-monthly.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interRAI assessment and long-term care plan had not been completed within 21-days of admission in one long-term resident file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(ii) Six-monthly interRAI and care plan evaluation had not been completed in three of the six resident files (hospital level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 interRAI assessment is completed within 21-days of admission.  (ii) Ensure the interRAI assessment and care plan evaluations are completed six-monthly on all long-term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vital signs, pain, continence and two hourly positioning.  One resident who had a nephrostomy tube in place had incomplete documentation of dates and times when nephrostomy catheter tube was changed.  Two residents had no neurological observations evidenced post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Policy and best practice mandates two persons are required for all hoist transfers.  This requirement has been discussed in staff meetings (meeting minutes sighted).  Interviews with caregivers (two groups of caregivers; one group of three caregivers on day one and one group of two caregivers on day two of the audit) stated that they may do as many as four or five hoist transfers per week on their own because a second person is not readily available in their area to assist them.</w:t>
            </w:r>
          </w:p>
          <w:p w:rsidR="00EB7645" w:rsidRPr="00BE00C7" w:rsidP="00BE00C7">
            <w:pPr>
              <w:pStyle w:val="OutcomeDescription"/>
              <w:spacing w:before="120" w:after="120"/>
              <w:rPr>
                <w:rFonts w:cs="Arial"/>
                <w:b w:val="0"/>
                <w:lang w:eastAsia="en-NZ"/>
              </w:rPr>
            </w:pPr>
            <w:r w:rsidRPr="00BE00C7">
              <w:rPr>
                <w:rFonts w:cs="Arial"/>
                <w:b w:val="0"/>
                <w:lang w:eastAsia="en-NZ"/>
              </w:rPr>
              <w:t>One file of a resident documented on the restraint register as using restraint did not have restraint use documented in their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incomplete documented evidence of nephrostomy catheter tube changes for one hospital resident that had a nephrostomy tube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Neurological observations had not been completed for two residents with unwitnessed falls as per policy.  </w:t>
            </w:r>
          </w:p>
          <w:p w:rsidR="00EB7645" w:rsidRPr="00BE00C7" w:rsidP="00BE00C7">
            <w:pPr>
              <w:pStyle w:val="OutcomeDescription"/>
              <w:spacing w:before="120" w:after="120"/>
              <w:rPr>
                <w:rFonts w:cs="Arial"/>
                <w:b w:val="0"/>
                <w:lang w:eastAsia="en-NZ"/>
              </w:rPr>
            </w:pPr>
            <w:r w:rsidRPr="00BE00C7">
              <w:rPr>
                <w:rFonts w:cs="Arial"/>
                <w:b w:val="0"/>
                <w:lang w:eastAsia="en-NZ"/>
              </w:rPr>
              <w:t>(iii) A sample of caregiver interviews confirmed that they are single-handedly using the hoist to transfer residents approximately three to four times per week.</w:t>
            </w:r>
          </w:p>
          <w:p w:rsidR="00EB7645" w:rsidRPr="00BE00C7" w:rsidP="00BE00C7">
            <w:pPr>
              <w:pStyle w:val="OutcomeDescription"/>
              <w:spacing w:before="120" w:after="120"/>
              <w:rPr>
                <w:rFonts w:cs="Arial"/>
                <w:b w:val="0"/>
                <w:lang w:eastAsia="en-NZ"/>
              </w:rPr>
            </w:pPr>
            <w:r w:rsidRPr="00BE00C7">
              <w:rPr>
                <w:rFonts w:cs="Arial"/>
                <w:b w:val="0"/>
                <w:lang w:eastAsia="en-NZ"/>
              </w:rPr>
              <w:t>(iv) Residents using restraint or enablers are required to have this documented in their care plan.  This was missing in one of the two resident’s files sampled where the use of restraint was documented in the restraint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nephrostomy catheter tubes are changed as prescribed, and the dates and times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neurological observations are completed for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(iii) Ensure a minimum of two persons are always present during hoist transfers.</w:t>
            </w:r>
          </w:p>
          <w:p w:rsidR="00EB7645" w:rsidRPr="00BE00C7" w:rsidP="00BE00C7">
            <w:pPr>
              <w:pStyle w:val="OutcomeDescription"/>
              <w:spacing w:before="120" w:after="120"/>
              <w:rPr>
                <w:rFonts w:cs="Arial"/>
                <w:b w:val="0"/>
                <w:lang w:eastAsia="en-NZ"/>
              </w:rPr>
            </w:pPr>
            <w:r w:rsidRPr="00BE00C7">
              <w:rPr>
                <w:rFonts w:cs="Arial"/>
                <w:b w:val="0"/>
                <w:lang w:eastAsia="en-NZ"/>
              </w:rPr>
              <w:t>(iv) Ensure restraint use is documented in the care plans of all residents using restraint.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had a planned maintenance programme in place to cover reactive and preventative maintenance of plant and equipment.  The hot water temperatures were not regularly monitored and recorded.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are not regularly monitored and recorded.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hot water temperatures are monitored and documented regularly.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electronic call system is in place that is linked to staff pagers.  This system is not reliable, and a new part has been ordered to remedy this problem.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call system is not working properly both with the main server and with the staff pagers.  This has been identified as an issue related to Wi-Fi access and a new system has been ordered.</w:t>
            </w:r>
          </w:p>
          <w:p w:rsidR="00EB7645" w:rsidRPr="00BE00C7" w:rsidP="00BE00C7">
            <w:pPr>
              <w:pStyle w:val="OutcomeDescription"/>
              <w:spacing w:before="120" w:after="120"/>
              <w:rPr>
                <w:rFonts w:cs="Arial"/>
                <w:b w:val="0"/>
                <w:lang w:eastAsia="en-NZ"/>
              </w:rPr>
            </w:pPr>
            <w:r w:rsidRPr="00BE00C7">
              <w:rPr>
                <w:rFonts w:cs="Arial"/>
                <w:b w:val="0"/>
                <w:lang w:eastAsia="en-NZ"/>
              </w:rPr>
              <w:t>(ii) Three of four families and two of six residents interviewed stated that call bells were not answered in a timely manner.  A call bell report was reviewed for ten rooms over a period of 10 days.  Call bell response times exceeded 10 minutes in 29 instances of residents using their call bell.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an effective call system is in place to allow staff to answer call bells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(ii) Ensure call bells are promptly answered.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2.2.2.1</w:t>
            </w:r>
          </w:p>
          <w:p w:rsidR="00EB7645" w:rsidRPr="00BE00C7" w:rsidP="00BE00C7">
            <w:pPr>
              <w:pStyle w:val="OutcomeDescription"/>
              <w:spacing w:before="120" w:after="120"/>
              <w:rPr>
                <w:rFonts w:cs="Arial"/>
                <w:b w:val="0"/>
                <w:lang w:eastAsia="en-NZ"/>
              </w:rPr>
            </w:pPr>
            <w:r w:rsidRPr="00BE00C7">
              <w:rPr>
                <w:rFonts w:cs="Arial"/>
                <w:b w:val="0"/>
                <w:lang w:eastAsia="en-NZ"/>
              </w:rPr>
              <w:t>In assessing whether restraint will be used, appropriate factors are taken into consideration by a suitably skilled service provider. This shall include but is not limited to:</w:t>
              <w:br/>
              <w:t>(a) Any risks related to the use of restraint;</w:t>
              <w:br/>
              <w:t>(b) Any underlying causes for the relevant behaviour or condition if known;</w:t>
              <w:br/>
              <w:t>(c) Existing advance directives the consumer may have made;</w:t>
              <w:br/>
              <w:t>(d) Whether the consumer has been restrained in the past and, if so, an evaluation of these episodes;</w:t>
              <w:br/>
              <w:t>(e) Any history of trauma or abuse, which may have involved the consumer being held against their will;</w:t>
              <w:br/>
              <w:t>(f) Maintaining culturally safe practice;</w:t>
              <w:br/>
              <w:t>(g) Desired outcome and criteria for ending restraint (which should be made explicit and, as much as practicable, made clear to the consumer);</w:t>
              <w:br/>
              <w:t>(h) Possible alternative intervention/strategies.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process is in place that includes all aspects of the criterion (a) – (h).  Three residents’ files were reviewed.  One resident was using restraint, but restraint processes were not followed.  A second resident did not have their restraint linked to their care plan (link 2.2.3.2) and the third resident using restraint was initially assessed as using an enabler (8 July 2015) but the resident file had not been updated to reflect that the bedrails were now a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resident was being restrained in a lazy-boy chair with the control for the lazy boy chair placed out of his reach to prevent him from lowering the leg rest and trying to get out of the chair.  This resident has not been assessed for restraint use.</w:t>
            </w:r>
          </w:p>
          <w:p w:rsidR="00EB7645" w:rsidRPr="00BE00C7" w:rsidP="00BE00C7">
            <w:pPr>
              <w:pStyle w:val="OutcomeDescription"/>
              <w:spacing w:before="120" w:after="120"/>
              <w:rPr>
                <w:rFonts w:cs="Arial"/>
                <w:b w:val="0"/>
                <w:lang w:eastAsia="en-NZ"/>
              </w:rPr>
            </w:pPr>
            <w:r w:rsidRPr="00BE00C7">
              <w:rPr>
                <w:rFonts w:cs="Arial"/>
                <w:b w:val="0"/>
                <w:lang w:eastAsia="en-NZ"/>
              </w:rPr>
              <w:t>(ii) One enabler (bedrails) was actually a restraint due to the resident being unable to voluntarily consent to the use of the bedrails.  All documentation in the resident’s file was around use of an enabler.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restraint procedures are followed for all residents whose freedom of movement is limited to keep them safe.</w:t>
            </w:r>
          </w:p>
          <w:p w:rsidR="00EB7645" w:rsidRPr="00BE00C7" w:rsidP="00BE00C7">
            <w:pPr>
              <w:pStyle w:val="OutcomeDescription"/>
              <w:spacing w:before="120" w:after="120"/>
              <w:rPr>
                <w:rFonts w:cs="Arial"/>
                <w:b w:val="0"/>
                <w:lang w:eastAsia="en-NZ"/>
              </w:rPr>
            </w:pPr>
            <w:r w:rsidRPr="00BE00C7">
              <w:rPr>
                <w:rFonts w:cs="Arial"/>
                <w:b w:val="0"/>
                <w:lang w:eastAsia="en-NZ"/>
              </w:rPr>
              <w:t>(ii) Ensure all enablers are voluntary, otherwise should be managed as restraint.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policies and procedures are reviewed two-yearly but there is no evidence to suggest that reviews are taking place in relation to trends around restraint use, restraint education and ensuring that staff follow restraint policies and procedures.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has been no evidence of the review of the restraint minimisation programme to identify trends, adherence to the restraint policies and procedures, and staff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restraint programme is reviewed regularly.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Little Sisters of The Poor Aged Care New Zealand Limited - St Joseph's</w:t>
    </w:r>
    <w:bookmarkEnd w:id="58"/>
    <w:r>
      <w:rPr>
        <w:rFonts w:cs="Arial"/>
        <w:sz w:val="16"/>
        <w:szCs w:val="20"/>
      </w:rPr>
      <w:tab/>
      <w:t xml:space="preserve">Date of Audit: </w:t>
    </w:r>
    <w:bookmarkStart w:id="59" w:name="AuditStartDate1"/>
    <w:r>
      <w:rPr>
        <w:rFonts w:cs="Arial"/>
        <w:sz w:val="16"/>
        <w:szCs w:val="20"/>
      </w:rPr>
      <w:t>13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