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Whalan Lodge Trust - Whalan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Whalan Lodge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Whalan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May 2019</w:t>
      </w:r>
      <w:bookmarkEnd w:id="7"/>
      <w:r w:rsidRPr="009418D4">
        <w:rPr>
          <w:rFonts w:cs="Arial"/>
        </w:rPr>
        <w:tab/>
        <w:t xml:space="preserve">End date: </w:t>
      </w:r>
      <w:bookmarkStart w:id="8" w:name="AuditEndDate"/>
      <w:r w:rsidR="00A4268A">
        <w:rPr>
          <w:rFonts w:cs="Arial"/>
        </w:rPr>
        <w:t>16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Whalan Lodge is a 14-bed rest home, which is owned and governed by a community trust board.  On the day of the audit, there were 11 residents.  The manager at Whalan Lodge has been in the role since 2017 and is supported by an assistant manager and a part time clinical manager who is a registered nurse.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surveillance audit was conducted against the health and disability sector standards and the district health board contract.  The audit process included the review of policies and procedures, the review of resident and staff files, observations and interviews with residents, a family member, staff and management.  </w:t>
      </w:r>
    </w:p>
    <w:p w:rsidRPr="00A4268A">
      <w:pPr>
        <w:spacing w:before="240" w:line="276" w:lineRule="auto"/>
        <w:rPr>
          <w:rFonts w:eastAsia="Calibri"/>
        </w:rPr>
      </w:pPr>
      <w:r w:rsidRPr="00A4268A">
        <w:rPr>
          <w:rFonts w:eastAsia="Calibri"/>
        </w:rPr>
        <w:t xml:space="preserve">The service has addressed nine of twelve findings from the previous audit around informing family of incidents, internal audits, the hazard register, human resource documentation, staff training, care plan evaluation, medication management, food storage and hot water temperatures.  Further improvements continue to be required around care planning interventions, monitoring and activities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with residents and family was evidenced in care plans and confirmed on interviews.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Whalan Lodge community trust board provides governance and support to the manager.  The service has contracted an external quality consultant since the previous audit.  There is a documented quality programme.  Internal audits are completed as per the audit schedule.  Health and safety policies, systems and processes are implemented to manage risk.  Incidents and accidents are appropriately managed.  A roster provides appropriate coverage for the effective delivery of care and support for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clinical nurse manager takes primary responsibility for managing entry to the service.  Comprehensive service information is available.  The clinical nurse manager completes initial assessments, including interRAI assessments and complete care plans and evaluations.  Initial care plans are documented on admission.  Risk assessments are completed and reviewed six monthly.  The care plans reviewed were pre-printed for each aspect of care.  Care plans are evaluated six monthly.  The residents and relative interviewed confirmed their input into care planning and access to a typical range of life experiences and choices.</w:t>
      </w:r>
    </w:p>
    <w:p w:rsidRPr="00A4268A" w:rsidP="00621629">
      <w:pPr>
        <w:spacing w:before="240" w:line="276" w:lineRule="auto"/>
        <w:rPr>
          <w:rFonts w:eastAsia="Calibri"/>
        </w:rPr>
      </w:pPr>
      <w:r w:rsidRPr="00A4268A">
        <w:rPr>
          <w:rFonts w:eastAsia="Calibri"/>
        </w:rPr>
        <w:t xml:space="preserve">Activities were provided either within group settings or on a one-on-one basis.  </w:t>
      </w:r>
    </w:p>
    <w:p w:rsidRPr="00A4268A" w:rsidP="00621629">
      <w:pPr>
        <w:spacing w:before="240" w:line="276" w:lineRule="auto"/>
        <w:rPr>
          <w:rFonts w:eastAsia="Calibri"/>
        </w:rPr>
      </w:pPr>
      <w:r w:rsidRPr="00A4268A">
        <w:rPr>
          <w:rFonts w:eastAsia="Calibri"/>
        </w:rPr>
        <w:t>There are medication management policies in place.  Staff responsible for medicine management have current medication competencies.  There were no residents who self-administer medicines at the facility.</w:t>
      </w:r>
    </w:p>
    <w:p w:rsidRPr="00A4268A" w:rsidP="00621629">
      <w:pPr>
        <w:spacing w:before="240" w:line="276" w:lineRule="auto"/>
        <w:rPr>
          <w:rFonts w:eastAsia="Calibri"/>
        </w:rPr>
      </w:pPr>
      <w:r w:rsidRPr="00A4268A">
        <w:rPr>
          <w:rFonts w:eastAsia="Calibri"/>
        </w:rPr>
        <w:t xml:space="preserve">Nutritional needs of residents are provided in line with resident needs and residents commented positively on the food service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Whalan Lodge has a current building warrant of fitness.  There is reactive and preventative maintenance at the facility.  </w:t>
      </w:r>
    </w:p>
    <w:p w:rsidRPr="00A4268A">
      <w:pPr>
        <w:spacing w:before="240" w:line="276" w:lineRule="auto"/>
        <w:rPr>
          <w:rFonts w:eastAsia="Calibri"/>
        </w:rPr>
      </w:pPr>
      <w:r w:rsidRPr="00A4268A">
        <w:rPr>
          <w:rFonts w:eastAsia="Calibri"/>
        </w:rPr>
        <w:t xml:space="preserve">Residents’ rooms are spacious and allow services to be provided and for the safe use and manoeuvring of mobility aids.  Residents can access areas for privacy, if required.  Communal living areas and resident rooms are appropriately heated and ventilated.  Residents have access to natural light in their rooms and in communal areas.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Whalan Lodge has restraint minimisation and safe practice policies and procedures in place.  Staff receive training in restraint minimisation and challenging behaviour management.  On the day of audit, there were no residents with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4"/>
        <w:gridCol w:w="1280"/>
        <w:gridCol w:w="102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are in place.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the entrance.  The service has a complaint’s register on the electronic system.  One relative made comment about never having to complain as they were very happy with the care, however they were aware of the complaint forms at the front door, and felt the management were available to answer any queries. No complaints have been received since the previous audit.  A complaints procedure is provided to residents within the information pack at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and one relative interviewed confirmed that the staff and management are approachable and available.  Ten accident/incident forms reviewed identified that family were notified following a resident incident.  The previous finding has been addressed.  Relatives are invited to attend the six-monthly resident/relative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is governed by a community trust board, which includes eight board members.  Whalan Lodge is a 14-bed rest home.  On the day of the audit, there were 11 residents all under the age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Whalan Lodge facility manager has been in the position since September 2017.  She has a background in hospitality.  The facility manager (FM) reports to the governing board monthly on a variety of topics relating to quality and risk management.  The facility manager is supported by a clinical nurse manager (CNM) who is a registered nurse and has been in the role since July 2017.  They are supported by an assistant manager/carer support/relief cook, a casual RN, care staff, the trust board and volunteer members of the community.  The service has a current strategic and business plan, which includes a philosophy of care, and a current quality and risk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facility manager and clinical nurse manager have completed eight hours of professional development in relation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has implemented an electronic quality and risk management system.  The facility managers’ monthly report to the board of trustee’s covers staffing, resident occupancy, accident/incident data, and any complaints/compliments.  The service has in place a range of policies and procedures to support service delivery that are developed by an external consultant and reviewed regularly.   Two caregivers and the kitchen manager as well as the RN/CNM confirmed they are made aware of new/reviewed policies.  Quality data analysis related to incident and accidents, infection control, restraint and complaints are collected electronically.  Monthly staff/quality meeting minutes included discussion around quality data analysis and what actions were required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internal audit calendar schedule in place, all audits have been completed as per the required schedule since June 2018.  The results have shown an increase in compliance throughout the audit schedule.   Corrective actions required for internal audits that are not compliant have been fully completed and signed off.  The previous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in place including policies to guide practice.  Health and safety is discussed at the monthly staff/quality meetings.  Hazard identification forms are completed for any accidents or near misses, a hazard register in place, which was developed in September 2018.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resident/relative satisfaction survey was completed in June 2018, all residents/relatives surveyed were satisfied with the quality of the service being provided.  Lower satisfaction was noted with the food services.  Since the 2018 survey there have been changes in the dining room to include smaller tables to create a more sociable environment with more conversations.  There have been more homemade soups featured in the winter menu and salads in the summer menu.  The 2019 survey has not yet been completed.  The service plans to complete another survey around food services prior to the dietitian visit on 30 May 2019, so residents can have an input to the new menu.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accident/incidents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reviewed for April and May 2019 on the electronic system.  All document timely RN review and follow-up, neurological observations were fully completed for all unwitnessed falls for falls with a potential head injury.  The previous finding has been addressed.  All ten incident forms indicated next of kin had been informed of all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reviewed (one clinical nurse manager/RN, two caregivers, one lodge support, and one cook) included evidence of the recruitment process including police vetting, signed employment contracts and job descriptions.  Reference checks, and an orientation were documented for one staff employed since the last audit.  All appraisals are current in the files reviewed.  The previous findings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practising certificate was sighted for the clinical nurse manager/RN.  There are two RNs (CNM and one casual RN) that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in-service training calendar schedule, which includes all compulsory training and exceeds the eight hours training required.  The caregivers interviewed stated they have enjoyed the training sessions offered since the last audit. The training schedule is fully implemented.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first aid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rostering, and skill mix policy is in place.  Staff are rostered on to manage the care requirements for the 11 residents in the rest home.  The facility manager is available from Monday to Friday.  The clinical nurse manager works (between 24-26 hours per week) on Monday, Wednesday and Friday.  Senior caregivers share the 24/7 on call duty with support from a designated RN and the facility manager as required.  There is one caregiver on full shifts for the morning, afternoon and night shifts.  They are supported by a lodge support person (housekeeper / second caregiver) who works from 8.00 am to 1.00 pm and one from 4.30 pm to 6.30 pm.  Interviews with caregivers, one family member and residents confirmed that staffing is adequate to meet the needs of residents.  After 6.30 pm to 7.00 am, there is a second person assist, who is within a 20-minute drive, who staff can call on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reported that prescribed medications are delivered to the facility and checked by her on entry.  The service has implemented an electronic medicine management system.  The medication area evidenced an appropriate and secure medicine storage area.  The medication fridge temperatures were reviewed and recorded weekly.  Controlled drugs are stored appropriately, and weekly checks have occurred, and temperatures are within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had current competencies.  Medication training was last completed February 2019.  The medication round was observed and evidenced appropriate practices were followed.  Administration records were maintained in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medication charts sampled had photo identification, medicine charts were legible and discontinued medicines were dated and signed by the GPs.  Warfarin doses were correctly prescribed, allergies were documented.  All ‘as required’ (PRN) medication was identified for individual residents and correctly prescribed, and three-monthly medicine reviews were consistently documented as completed on the electronic system.  The previous findings have all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medicines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are done in the facility kitchen.  There is a food control plan in place expiring on 28 February 2020.  There is a rotating seasonal menu that was reviewed by the dietitian in November 2016 and is planned for review in May 2019.  All cooking is completed by the kitchen manager and two designated kitchen staff.  All three-kitchen staff have completed food safety training.  Fridge, dishwasher, freezer and food temperatures are monitored.  All dry foods (breakfast cereals) have a date of expiry indicated, and dry food opened is stored in a sealed container in the original packaging.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surfaces in the kitchen meet infection control requirements, and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and care staff confirmed they were aware of the residents’ individual dietary needs.  There were copies of the residents' dietary profiles in the kitchen.  The kitchen staff are informed if resident's dietary requirements change, confirmed at interview with the kitchen manager.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demonstrated monthly monitoring of individual resident's weight.  In interviews, residents stated they were satisfied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sampled the residents’ care plans were personalised to the resident.  However, the care plan interventions did not always reflect the assessments and the care required, this is a repeat finding.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available on the nurse’s computer, but not in the resident file for changes in care.  In interviews, staff reported they received adequate verbal information for continuity of residents’ care.  The residents had input into their care planning and review, confirmed at resident and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sampled, evidenced some interventions based on assessed needs, desired outcomes or goals of the residents (link 1.3.5.2).  Monitoring forms identify neurological observations are recorded for all unwitnessed falls and falls with the potential for a head injury, and effectiveness of analgesia is recorded in the progress notes and in the electronic medication charts.  These aspects of the previous finding have been addressed.  Monitoring for behaviours that challenge are a continued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documentation and records were current in files sampled.  In interviews, residents and one relative confirmed current care and that treatment met their needs.  Nursing progress notes and observations are maintained for all monitoring required.  Staff interviewed confirmed they were familiar with the current care interventions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wound assessment plan and evaluation for the one wound, which was reflective of progression and deterioration of the wound for a resident with a chronic wound.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currently completing Careerforce training around diversional therapy and is the lead activities person.  There is an activities person who visits the facility and assists the residents with crafts.  The residents have been busy stripping lavender grown in the garden and making lavender bags to sell in the community as a fundraiser for resident trips.  There are happy hours, and member of staff cares for the residents’ nails two hours each week.  There is a scheduled movie afternoon on a Thursday, facilitated by a relative/volunteer/board member.  Caregivers assist the residents with housie and group games at the weekends.  Special events are celebrated, such as baby showers for staff with games that the residents can join in.  School children visit the facility and the residents are invited to attend the school production.  The priest visits on a three-weekly basis to visit residents, and a minister visits on a two-weekly rotation.</w:t>
            </w:r>
          </w:p>
          <w:p w:rsidR="00EB7645" w:rsidRPr="00BE00C7" w:rsidP="00BE00C7">
            <w:pPr>
              <w:pStyle w:val="OutcomeDescription"/>
              <w:spacing w:before="120" w:after="120"/>
              <w:rPr>
                <w:rFonts w:cs="Arial"/>
                <w:b w:val="0"/>
                <w:lang w:eastAsia="en-NZ"/>
              </w:rPr>
            </w:pPr>
            <w:r w:rsidRPr="00BE00C7">
              <w:rPr>
                <w:rFonts w:cs="Arial"/>
                <w:b w:val="0"/>
                <w:lang w:eastAsia="en-NZ"/>
              </w:rPr>
              <w:t>A variety of volunteers visit; the fire brigade visited with the vintage fire engine and took the residents around the village.  The vintage car society took the residents for a drive around the lakes.  The facility held a fundraiser dinner to purchase electric beds and raised $4,500.  There are volunteers available to drive the community car to escort residents to appointments.  The Whalan Lodge Trust won the Trust Power award in March 2019 with the story of Whalan Lodge since the trust took 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 relative and staff confirmed the activities programme included input from external agencies and supported ordinary unplanned/spontaneous activities including festive occasions and celebrations.  Residents’ activities attendance records are maintained, however not all residents had an activity care plan and no care plans had been evaluated.  The previous audit shortfalls continue to require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reviewed evidenced the residents' care plans were reviewed six monthly and document achievements and progress towards meeting resident goals.  Interviews with residents and the relative confirmed their participation in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progress notes were written by caregivers at the end of each shift, in all files reviewed.  The registered nurse writes progress notes at least weekly, and following incidents.  When resident’s progress was different than expected, the registered nurse (RN) contacts the GP, as required.  Short-term care plans in the resident files were reviewed and resolved.  The previous finding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and expires on 29 August 2019.  There is reactive and preventative maintenance in place.  There is a current test and tag programme of electrical equipment and current calibration of clinical/medical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gas cylinder system has been installed since the last audit.  Hot water temperature monitoring is recorded monthly and temperatures are within range.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easy access to all areas, ramps are provided where required.  There are communal areas for residents to join other residents and quiet areas for residents and visitors to meet and areas that provide privacy when required.  There are outside areas where residents can sit with outside seating and shade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designated infection control nurse.  Monthly infection data is collected for all infections based on signs and symptoms of infection.  An individual resident infection form is completed on the electronic system, which includes signs and symptoms of infection, treatment, follow-up, review and resolution.  Surveillance of all infections is entered onto a monthly infection summary.  This data is monitored and evaluated monthly and annually.  Outcomes and actions are discussed at staff meetings.  If there is an emergent issue, it is acted upon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On the day of audit, there were no residents requiring restraint or using enablers.  Staff receive training around restraint minimisation and the management of challenging behaviours, last occurring in April 2018, restraint training is planned for August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2"/>
        <w:gridCol w:w="1280"/>
        <w:gridCol w:w="5782"/>
        <w:gridCol w:w="2603"/>
        <w:gridCol w:w="21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have pre-printed care plans in place Not all interventions were documented to support caregivers on how to care for each resident.  Information and changes in condition are handed over in each handover.  Caregivers interviewed were knowledgeable of the current individual needs and interventions required for each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residents with unintentional weight loss had no interventions documented around this, either in a short-term care plan or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on warfarin had no risks or side effects documented in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with a chronic wound did not have interventions to support the wound, or risks and reporting associated with a wound documented in the long-term care plan or a short-term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all care plans and short-term care plans are reflective of current resident need.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in place for behaviours; however, behaviour monitoring charts and care plans do not identify triggers or a description of the behaviours.  Monthly weights and pain monitoring is recorded in the electronic medication charts.  Monitoring charts are used to inform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monitoring charts and care plans do not identify triggers or a description of the behaviours.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behaviour monitoring forms describe the whole episode of challenging behaviour to aid identification of possible triggers and interventions in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an activities assessment completed on admission to the service.  Activities records are maintained.  The residents interviewed state there are a variety of activities on offer to suit a variety of need and the residents are supported and encouraged to complete activities of their choice.  However, activity plans are not all in place and activity plans are not all reviewed 6 monthly.  This continues to be a shortfall from the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of five resident files reviewed did not have completed activities care plans.</w:t>
            </w:r>
          </w:p>
          <w:p w:rsidR="00EB7645" w:rsidRPr="00BE00C7" w:rsidP="00BE00C7">
            <w:pPr>
              <w:pStyle w:val="OutcomeDescription"/>
              <w:spacing w:before="120" w:after="120"/>
              <w:rPr>
                <w:rFonts w:cs="Arial"/>
                <w:b w:val="0"/>
                <w:lang w:eastAsia="en-NZ"/>
              </w:rPr>
            </w:pPr>
            <w:r w:rsidRPr="00BE00C7">
              <w:rPr>
                <w:rFonts w:cs="Arial"/>
                <w:b w:val="0"/>
                <w:lang w:eastAsia="en-NZ"/>
              </w:rPr>
              <w:t>ii) Five of five residents’ files did not have activities care plans evaluated at least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residents have completed care plans and care plans are evaluated at least six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Whalan Lodge Trust - Whalan Lodge</w:t>
    </w:r>
    <w:bookmarkEnd w:id="58"/>
    <w:r>
      <w:rPr>
        <w:rFonts w:cs="Arial"/>
        <w:sz w:val="16"/>
        <w:szCs w:val="20"/>
      </w:rPr>
      <w:tab/>
      <w:t xml:space="preserve">Date of Audit: </w:t>
    </w:r>
    <w:bookmarkStart w:id="59" w:name="AuditStartDate1"/>
    <w:r>
      <w:rPr>
        <w:rFonts w:cs="Arial"/>
        <w:sz w:val="16"/>
        <w:szCs w:val="20"/>
      </w:rPr>
      <w:t>15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