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Bainlea House (2013) Limited - Bainswood on Victoria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Bainlea House (2013)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Bainswood on Victoria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May 2019</w:t>
      </w:r>
      <w:bookmarkEnd w:id="7"/>
      <w:r w:rsidRPr="009418D4">
        <w:rPr>
          <w:rFonts w:cs="Arial"/>
        </w:rPr>
        <w:tab/>
        <w:t xml:space="preserve">End date: </w:t>
      </w:r>
      <w:bookmarkStart w:id="8" w:name="AuditEndDate"/>
      <w:r w:rsidR="00A4268A">
        <w:rPr>
          <w:rFonts w:cs="Arial"/>
        </w:rPr>
        <w:t>8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54 </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Bainswood on Victoria is part of the Arvida Group.  The service is certified to provide rest home and hospital level care for up to 57 residents.    On the day of the audit, there were 52 residents. </w:t>
      </w:r>
    </w:p>
    <w:p w:rsidRPr="00A4268A">
      <w:pPr>
        <w:spacing w:before="240" w:line="276" w:lineRule="auto"/>
        <w:rPr>
          <w:rFonts w:eastAsia="Calibri"/>
        </w:rPr>
      </w:pPr>
      <w:r w:rsidRPr="00A4268A">
        <w:rPr>
          <w:rFonts w:eastAsia="Calibri"/>
        </w:rPr>
        <w:t xml:space="preserve">There is a village manager (non-clinical) and clinical manager/registered nurse who manage Bainswood on Victoria and Bainslea House.  Both are experienced in aged care management.  They are supported by a care lead/registered nurse at Bainswood on Victoria and stable workforce.   Family and residents interviewed all spoke positively about the care and support provided.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 xml:space="preserve">The service is commended for maintaining a continued improvement rating around a quality improvement project for reduction of falls.   </w:t>
      </w:r>
    </w:p>
    <w:p w:rsidRPr="00A4268A">
      <w:pPr>
        <w:spacing w:before="240" w:line="276" w:lineRule="auto"/>
        <w:rPr>
          <w:rFonts w:eastAsia="Calibri"/>
        </w:rPr>
      </w:pPr>
      <w:r w:rsidRPr="00A4268A">
        <w:rPr>
          <w:rFonts w:eastAsia="Calibri"/>
        </w:rPr>
        <w:t>This audit did not identify any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are implemented to support residents’ rights, communication and complaints management.  There are residents’ meetings, and management promote an open-door policy.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  Meetings are held to discuss quality and risk management processes.  Residents/family meetings are held regularly, and residents and families are surveyed annually.  Health and safety policies, systems and processes are implemented to manage risk.  Incidents and accidents are reported.  Falls prevention strategies are in place that includes the analysis of falls incidents.  The service has an orientation programme that provides new staff with relevant information for safe work practice.  An education and training programme has been implemented with a current training plan in place for 2019.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provision of care.  Initial assessments are completed by a registered nurse, including interRAI assessments.    </w:t>
      </w:r>
    </w:p>
    <w:p w:rsidRPr="00A4268A" w:rsidP="00621629">
      <w:pPr>
        <w:spacing w:before="240" w:line="276" w:lineRule="auto"/>
        <w:rPr>
          <w:rFonts w:eastAsia="Calibri"/>
        </w:rPr>
      </w:pPr>
      <w:r w:rsidRPr="00A4268A">
        <w:rPr>
          <w:rFonts w:eastAsia="Calibri"/>
        </w:rPr>
        <w:t xml:space="preserve">Electronic care plans reviewed were based on the interRAI outcomes and other assessments.  Allied health professionals provide input into residents’ care.  There is at least a three-monthly resident review by the medical practitioner. </w:t>
      </w:r>
    </w:p>
    <w:p w:rsidRPr="00A4268A" w:rsidP="00621629">
      <w:pPr>
        <w:spacing w:before="240" w:line="276" w:lineRule="auto"/>
        <w:rPr>
          <w:rFonts w:eastAsia="Calibri"/>
        </w:rPr>
      </w:pPr>
      <w:r w:rsidRPr="00A4268A">
        <w:rPr>
          <w:rFonts w:eastAsia="Calibri"/>
        </w:rPr>
        <w:t xml:space="preserve">The activity coordinator develops and implements a varied and interesting programme that includes entertainers and outings.  Individual activity plans have also been developed in consultation with resident/family.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Annual medication competencies have been completed for staff responsible for medication administration.  General practitioners review medication charts at least three-monthly or more frequently if needed.  </w:t>
      </w:r>
    </w:p>
    <w:p w:rsidRPr="00A4268A" w:rsidP="00621629">
      <w:pPr>
        <w:spacing w:before="240" w:line="276" w:lineRule="auto"/>
        <w:rPr>
          <w:rFonts w:eastAsia="Calibri"/>
        </w:rPr>
      </w:pPr>
      <w:r w:rsidRPr="00A4268A">
        <w:rPr>
          <w:rFonts w:eastAsia="Calibri"/>
        </w:rPr>
        <w:t xml:space="preserve">All meals are prepared on site.  Resident’s individual food preferences, dislikes and dietary requirements are met.  The service has a current food control plan in place.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a reactive and planned maintenance plan.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Bainswood on Victoria has restraint minimisation and safe practice policies and procedures in place.  Staff receive training around restraint minimisation and the management of challenging behaviour.  There were no residents using an enabler or with a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both facilities.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02"/>
        <w:gridCol w:w="1280"/>
        <w:gridCol w:w="104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and procedure in place and residents and their family/whānau are provided with information on the complaints process on admission through the information pack.  Complaint forms and advocacy brochures are available at the main entrance of the facility.  Staff interviewed are aware of the complaints process and to whom they should direct complaints.  A complaints register is maintained.  There has been one written complaint in 2018 and none to date for 2019.  The complaint documentation evidenced the complaint had been managed appropriately with acknowledgement, investigations and responses within the required timeframes.    Residents and family members advised that they are aware of the complaints procedure and how to access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Incident forms are entered into the eCase system which generates a monthly report and evidence if the family have been informed of an accident/incident.  Thirteen incident forms reviewed for March 2019 identified family were notified following a resident incident.  Interviews with the care lead/registered nurse (RN), one RN and one enrolled nurse (EN) confirmed family are kept informed on the resident’s health status.  Two relatives of hospital level residents interviewed confirmed they were notified of any changes in their family member’s health status.  Discussions with residents (three rest home and three hospital) and family members confirmed they were given time and explanation about services on admission.  Interpreter services are provided if residents or family/whānau have difficulty with written or spoken English.  Resident meetings occur every three months and family meetings occur every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Bainswood on Victoria is part of the Arvida Group.  The service is certified to provide rest home and hospital (medical and geriatric) level care for up to 57 residents.  All beds are dual purpose.  There were 52 residents on the days of audit, 20 residents at rest home level and 32 residents at hospital level including one resident on an ACC contract.  There were no other residents under the medical component and all other residents were under the ARC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an experienced village manager, who has been in the role for six years.  The village manager oversees two Arvida facilities including Bainlea House dementia care.  She is supported by a clinical manager (previously at Bainlea House) who has been providing clinical oversight for the two facilities (Bainswood and Bainlea) for the past year.  The clinical manager was on planned leave during the audit and the care lead/RN was providing clinical support for both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Group Support Office on a variety of operational issues and progress towards meeting the service quality goals.  Arvida Group has an overall business/strategic plan and Bainswood on Victoria has an annual business plan February 2019-2020 in place.  The organisation has a philosophy of care, which includes a vision, values and mission statement.  The 2018 business plan has been reviewed.  Goals for 2019 align with the Arvida living well model of care.  Bainswood on Victoria is in the process of implementing the household model of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quality and risk management system with associated policies and procedures.  The quality plan includes objectives, policies and procedures, implementation, monitoring, quality risk and corrective action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maintained at least eight hours of professional development in the past twelve months including attending an aged care managers workshop, one-day workshop on mastering performance conversations and attending an Arvida managers two-day conference, and health and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also attended a workshop on mastering performance conversations, an aged care managers workshop and the Clinical Managers Forum.  The clinical manager has maintained interRAI competency and completed annual medication competency.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Bainswood on Victoria.  A quality coordinator is contracted for 16 hours per month to oversee and monitor contractual and standards compliance across the three local Arvida facilities (Bainswood on Victoria, Bainlea House and Bainswood House).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the Arvida Group suite of policies, which meet all current requirements.  Head office sends new/updated policies.  Staff have access to the policy manuals.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advised that she is responsible for providing oversight of the quality programme on site, which is also monitored at an organisational level.  There are monthly leadership and risk management meetings where operational management is discussed including review of quality goals, organisational key performance indicators, trends and concerns and audit outcomes.  Other meetings include staff meetings, RN meetings, kitchen, laundry and household meetings.  There are combined quality/infection control/health and safety committee meetings.  Meeting minutes are made available to staff.  Interviews with staff confirmed that there is discussion about quality data at the various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are collected in relation to a variety of quality activities (staff and resident accident/incidents, hazards, near misses, infection control, complaints and compliments and audit outcomes).  Areas of non-compliance identified through quality activities are actioned for improvement.  Restraint and enabler use (when used) is reported within the quality and clinical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schedule continues to be implemented and all issues identified had corrective action plans and resolutions.  The quality coordinator maintains a corrective action register which is signed off when the corrective action has been completed.  Senior staff interviewed could describe the quality programme corrective action process.  Other staff interviewed stated they were informed on the outcomes of audits at the staff meetings (as evidenced in meeting minutes).  Meeting minutes and graphs were displayed on the staff room noticeboard.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annually to gather feedback on the service provided and the outcomes are communicated to residents, staff and families.  The 2019 results demonstrate an improvement above the overall average for safety and security, care staff, individualised care, food services, activities, laundry and cleaning.  Residents and relatives interviewed stated they were very happy with the services provided at Bainswood on Victoria.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and policies that are regularly reviewed by the health and safety committee.  There is a quality/health and safety/infection control committee including health and safety representatives who meet monthly.  The village manager is the health and safety officer who has attended health and safety updates within the last year.  Risk management, hazard control and emergency policies and procedures are in place.  There is a current hazard register available to all staff.  Care staff interviewed, including one health and safety representative, are made aware of upcoming meetings and any staff concerns are raised and outcomes fed back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All incidents are entered into the eCase system with a monthly report with end of the month analysis.  The clinical manager investigates accidents and near misses and provides a detailed monthly analysis and trends of incident/accidents.  There is a discussion of incidents/accidents at staff meetings, including actions to minimise recurrence.  A registered nurse conducts clinical follow-up of residents.  Thirteen incident forms reviewed demonstrated that all appropriate clinical follow-up and investigation had occurred following incidents.  Appropriate care and support has been provided by caregivers and registered nurses post incident including neurological observations in four of four incident/accident forms for unwitnessed falls.  Discussions with the village manager and care lead confirmed that there is an awareness of the requirement to notify relevant authorities in relation to essential notifications.  There were no critical incidents to report.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This includes that the recruitment and staff selection process requires that relevant checks are completed to validate the individual’s qualifications, experience and veracity.  A register of practising certificates is kept for RNs, ENs and allied health professionals including the GPs.  Six staff files were reviewed (one clinical manager, one registered nurse, one enrolled nurse, two caregivers, one diversional therapist) and there was evidence of reference checks and other documentation related to employment.  Annual staff appraisals were evident in five of six staff files reviewed.  One staff member was recently employed.  The service has an orientation programme (on-line and on-site) that provides new staff with relevant information for safe work practice.  Staff interviewed were able to describe the orientation process and stated that they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2018 has been completed and the plan for 2019 is being implemented.  A training calendar is sent out from the support office.  The organisation has developed online “Altura” modules which covers the mandatory training requirements.  Staff are required to complete modules over a set timeframe.  There are “live” trainings on-site with a speaker arranged to provide education.  The physiotherapist and physiotherapy assistant complete safe manual handing competencies for all staff.  Twice monthly palliative care courses are held at the hospice.  Discussions with the caregivers and the RNs confirmed that ongoing training is encouraged and supported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supported to complete Careerforce level one and two which is processed at the support office.  Level three and four are completed through the open polytechnic. </w:t>
            </w:r>
          </w:p>
          <w:p w:rsidR="00EB7645" w:rsidRPr="00BE00C7" w:rsidP="00BE00C7">
            <w:pPr>
              <w:pStyle w:val="OutcomeDescription"/>
              <w:spacing w:before="120" w:after="120"/>
              <w:rPr>
                <w:rFonts w:cs="Arial"/>
                <w:b w:val="0"/>
                <w:lang w:eastAsia="en-NZ"/>
              </w:rPr>
            </w:pPr>
            <w:r w:rsidRPr="00BE00C7">
              <w:rPr>
                <w:rFonts w:cs="Arial"/>
                <w:b w:val="0"/>
                <w:lang w:eastAsia="en-NZ"/>
              </w:rPr>
              <w:t>There are five interRAI trained RNs, plus the clinical lead and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 village manager and the clinical manager work full-time.  between the two Arvida facilities (Bainswood on Victoria and Bainlea House).  The clinical manager and the care lead share the on-call requirement.  There are two wings of dual-purpose beds.  Ivory wing has 27 beds and Victoria wing has 30 beds.  In the day of audit there were 25 residents (15 hospital and 10 rest home) in Ivory wing and 27 residents in Victoria wing (17 hospital and 10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lead works from 0800 – 1630 Sunday to Wednesday.  There is an RN in both wings on morning and afternoon shifts and one RN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on duty are as follows for Ivory wing; two on the full morning shift and three caregivers finishing at 1330.  On afternoon shift there are four caregivers with two on the full shift, one finishing at 2100 and one from 1700 – 2200.  There is one caregiver on night shift with the night RN covering both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on duty are as follows for Victoria wing; two on the full morning shift and two caregivers finishing at 1330.  There is a caregiver on duty from 0700 – 1130 that can be extended as needed due to increased resident acuity or increased occupancy.  On afternoon shift there are four caregivers with two on the full shift, one finishing at 2100 and one from 1700 – 2100.  There are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activity staff, food services, housekeeping and laundry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advised that there is sufficient staff on duty to provide the care and support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Registered nurses and enrolled nurses administer medications.  Qualified nurses for medication administration have completed annual medication competencies.  Senior caregivers’ complete competencies for medication checks.  Registered nurses have completed syringe driver training.  Medications (blister packs) are checked on arrival by the night shift RN and any pharmacy errors recorded and reported to the supplying pharmacy.  There was one rest home resident self-medicating on the day of audit.  The resident had a self-medication competency which had been reviewed three monthly by the GP.  There was documented evidence of monitoring of medication administration and safe storage of medications in the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bulk supply order for hospital residents only.  The supply is checked regularly for expiry dates.  All eyedrops had been dated on opening.  The mediation fridge is monitored daily, and temperatures were within acceptable limits.  There is standing orders in place that meet requirements and has been reviewed by the GPs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charts are paper-based.  Ten medication charts and administration sheets were reviewed.  All were legible and medication charts had been reviewed three monthly by the GP.  ‘As required’ medications had indications for use.  The effectiveness was reported in the progress notes.  One RN and one EN was observed administering medications and practice was observed to be compliant with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Bainswood on Victoria has a commercial kitchen where all food is prepared and served.  The service employs three cooks to cover the seven-day week.  The cooks are supported by morning and afternoon kitchenhands.  All staff have completed food safety hygiene and chemical safety.  The service obtained a current food control plan.   The four weekly Arvida menu has been reviewed by a dietitian and reflects the resident preferences and resident choice.  There are buffet breakfasts.  The main meal is in the evening.  Special diets and dislikes are accommodated.  Modified diets are provided.  The cooks receive resident dietary profiles.  Meals are served directly to residents in one dining room and plated and transported in hot boxes to the second dining room and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monitoring for fridges, freezers, chiller, dishwasher wash and rinse cycles, delivery of goods, end cooked food and serving temperatures are recorded.  A cleaning schedule is maintained.  All containers in the pantry and perishable goods were dated.  Staff have access to a night fridge with snacks available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expressed satisfaction with the food service and can provide feedback through a food survey and at resident and relative meetings.  The cook visits residents and receives feedback from resident meetings and surveys.  The 2019 survey results around the food service, meals and dining experience has improved above the overall rating for Arvida.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the appropriate monitoring, a GP consultation or nurse specialist referral.  The relevant care plan and work log is updated to reflect the resident’s current health status.  Relatives are notified (as evidenced in electronic progress notes) of any resident changes to health including infections, medication changes, incidents, GP visits and care plan updates.  Family members interviewed expressed satisfaction with the clinical care and that they are notified of any health changes and involved in care and medical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the RNs interviewed stated there is adequate equipment provided including continence and wound care supplies.  Wound assessment forms and ongoing assessment and treatment forms are generated on the eCase system for all wounds (including abrasions, skin tears, venous ulcers and pressure injuries).  There were three residents (one rest home and two hospital) with facility acquired pressure injuries on the day of audit (one stage one and two stage two).  The GP and wound nurse have been involved in non-healing and more complex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vital signs, blood glucose, neurological observations, pain, re-positioning, behaviour and food and fluid.  The frequency of monitoring is determined by the RN, generated on the worklog and signed as completed.  The RN reviews all progress notes at least 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activity coordinator who has been in the role two months who works from 0800 - 1600 Tuesday to Saturday.  She is supported by an activity assistant for 25 hours a week Monday to Friday.  The activity programme is planned in advance and residents have copies in their rooms with the current week displayed throughout the facility.  The programme has integrated activities including (but not limited to); newspaper reading, exercises, walks, quizzes and word games, bowls and weekly happy hour with entertainment.  On days where there are two activity staff, there are activities occurring in both lounges.  The service has a van and car for weekly drives/outings.  The weekly knitting group is taken by a caregiver.  The physiotherapy assistant is involved in resident exercises and walks.  Community visitors include speakers, Lions, RSA, church groups/services, school children and day care children and inter-home challenges.  One-on-one time is spent with residents who prefer to stay in their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assessment completed over the first few weeks after admission, obtaining a complete history of past and present interests, career, family etc.  A leisure care plan and social activity is completed for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provide residents and relatives an opportunity to provide feedback on the activity programme.  Residents and relatives interviewed were satisfied with the activities provided.  Residents were observed participating in activities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evaluated by the registered nurse six monthly or earlier due to changes in resident’s health status.  Four of five care plans (including the ACC resident) reviewed had been updated following a six-monthly evaluation in consultation with the resident/relative (as appropriate).  Care plan evaluations identified if the resident goals had been met or unmet.  The family are notified of GP visits and care plan evaluations by phone/email and if unable to attend, they are informed of all the changes.  There is at least a three-monthly medical review by the medical practitioner.  The family members interviewed confirmed they are invited to attend GP visits.  Progress notes are updated as health changes.  Registered nurse input and follow-up and review after significant events and health changes are evident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which expires 1 March 2020.  The building is well maintained.  The dining room has been upgraded to accommodate buffet breakfasts.  All beds are now electric with posture temp mattresses.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infection control manual.  Infection events are entered into the eCase data base.  All infections are based on the standard definition of signs and symptoms for infections.  A monthly infection register is generated with an end of month trends and analysis.  This data is discussed at staff meetings.  Meeting minutes with infection event reports attached are made available to staff.  Outcomes and actions for infection rates above the key performance indicator for Arvida group are implemented and monitored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policy and manual with associated procedures and templates.  The policy states that the use of restraints is used as last resort.  Restraint education is included in the annual education planner.  The restraint approval group meet annually to review policies and procedures.  At the time of audit there were no enablers or restraints in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1890"/>
        <w:gridCol w:w="92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including infection rates, hazards and resident incident/accidents.  The service has continued to monitor falls and implement interventions that has led to a downward trend over the past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quality improvement project to reduce falls.  Falls statistics are analysed and trended to location and time of day and post falls assessments to ensure the resident level of care and supports are being met.  The GP is notified, and the resident medication reviewed, and clinical risks eliminated or identified and treated.  Falls prevention strategies are implemented including sensor mats, hip protectors, call bells within reach, uncluttered room and good fitting footwear.  The physiotherapist completes resident assessments and individual mobility and transfer plans.  Residents are encouraged to participate in the morning exercise programme.  There is continuing education in falls prevention.  Near miss reports have increased and are investigated to implement interventions for residents identified at risk.  There is one-on-one communication with at risk residents and their families to raise awareness around falls prevention, including good fitting footwear and the purchasing of hip protectors.  In 2017 there were 136 falls (including near misses) compared to 119 in 2018.  There have been 25 falls for the first quarter (January to April) for 2019 which demonstrates a downward trend to date for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Bainlea House (2013) Limited - Bainswood on Victoria</w:t>
    </w:r>
    <w:bookmarkEnd w:id="58"/>
    <w:r>
      <w:rPr>
        <w:rFonts w:cs="Arial"/>
        <w:sz w:val="16"/>
        <w:szCs w:val="20"/>
      </w:rPr>
      <w:tab/>
      <w:t xml:space="preserve">Date of Audit: </w:t>
    </w:r>
    <w:bookmarkStart w:id="59" w:name="AuditStartDate1"/>
    <w:r>
      <w:rPr>
        <w:rFonts w:cs="Arial"/>
        <w:sz w:val="16"/>
        <w:szCs w:val="20"/>
      </w:rPr>
      <w:t>7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