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Hillview Trust Incorporated - Hillview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Hillview Trust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Hillview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May 2019</w:t>
      </w:r>
      <w:bookmarkEnd w:id="7"/>
      <w:r w:rsidRPr="009418D4">
        <w:rPr>
          <w:rFonts w:cs="Arial"/>
        </w:rPr>
        <w:tab/>
        <w:t xml:space="preserve">End date: </w:t>
      </w:r>
      <w:bookmarkStart w:id="8" w:name="AuditEndDate"/>
      <w:r w:rsidR="00A4268A">
        <w:rPr>
          <w:rFonts w:cs="Arial"/>
        </w:rPr>
        <w:t>31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Hillview Home and Hospital provides rest home and hospital level care for up to 52 residents. The provider meets the needs for hospital medical services and the funder from Waikato District Health Board supports this. The service is operated by The Hillview Trust Incorporated. </w:t>
      </w:r>
    </w:p>
    <w:p w:rsidRPr="00A4268A">
      <w:pPr>
        <w:spacing w:before="240" w:line="276" w:lineRule="auto"/>
        <w:rPr>
          <w:rFonts w:eastAsia="Calibri"/>
        </w:rPr>
      </w:pPr>
      <w:r w:rsidRPr="00A4268A">
        <w:rPr>
          <w:rFonts w:eastAsia="Calibri"/>
        </w:rPr>
        <w:t>This re-certification audit was conducted against the Health and Disability Services Standards and the service’s contract with the. The audit process included review of policies and procedures, review of residents’ and staff files, observations and interviews with residents, family, management, staff, and a general practitioner.  Residents, their families and the general practitioner spoke positively about the care provided.</w:t>
      </w:r>
    </w:p>
    <w:p w:rsidRPr="00A4268A">
      <w:pPr>
        <w:spacing w:before="240" w:line="276" w:lineRule="auto"/>
        <w:rPr>
          <w:rFonts w:eastAsia="Calibri"/>
        </w:rPr>
      </w:pPr>
      <w:r w:rsidRPr="00A4268A">
        <w:rPr>
          <w:rFonts w:eastAsia="Calibri"/>
        </w:rPr>
        <w:t xml:space="preserve">Significant changes since the 2018 surveillance audit are renovations to the interior, the installation of CCTV and the resignation of the previous general manager. The clinical manager is currently acting as the general manager with assistance and support from the housekeeping manager and the board.  </w:t>
      </w:r>
    </w:p>
    <w:p w:rsidRPr="00A4268A">
      <w:pPr>
        <w:spacing w:before="240" w:line="276" w:lineRule="auto"/>
        <w:rPr>
          <w:rFonts w:eastAsia="Calibri"/>
        </w:rPr>
      </w:pPr>
      <w:r w:rsidRPr="00A4268A">
        <w:rPr>
          <w:rFonts w:eastAsia="Calibri"/>
        </w:rPr>
        <w:t xml:space="preserve">This audit identified one area requiring an improvement related to the environment. There have been significant improvements in service delivery. A rating of continuous improvement is acknowledged in adverse events for the success achieved with significantly reducing resident falls.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provided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00FF"/>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All standards applicable to this service fully attained with some standards exceeded.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The quality and risk management system includes internal audits, and the collection and analysis of quality improvement data. This data is benchmarked with seven other facilities and identifies trends and leads to improvements. Staff are involved, and feedback is sought from residents and families.</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were current and are being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an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a recreation coordinator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or an enrolled nurse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Bulk laundry is cleaned off site by an external contractor; therefore only resident’s clothes and other smaller items are laundered by staff onsite. Cleaning and laundry services are monitored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 Communal and individual spaces are maintained at a comfortable temperature.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 the days of audit four residents were using restraints and six had enablers in use at their request and with their consent. Staff demonstrated a sound knowledge and understanding of alternatives to restraint and what to do if restraints or enablers are assessed as being needed.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08"/>
        <w:gridCol w:w="1280"/>
        <w:gridCol w:w="100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Hillview Home and Hospital (Hillview)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five complaints have been received since the beginning of 2019 and that actions taken, through to an agreed resolution, are documented and completed within the required timeframes.  Action plans show any required follow up and improvements have been made where possible.  The clinical manager is currently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from discussions with staff. 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Hillview and family members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eight residents in Hillview at the time of audit who identified as Māori. Interviews with staff, residents and their family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with input from local cultural advisers.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Hillview, when interviewed,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interviews, residents and family members of residents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physiotherapist, renal nurse specialist, wound care nurse specialist, services for older people,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evidenced by an ongoing initiative aimed at a reduction in the number of falls and resulting fractures (refer criterion 1.2.4.3).  An improvement in the activities provided to enable improved resident’s participation in a wide range of activities on offer. A reduction in medication errors has occurred following the implementation of an electronic medication management system. A high level of satisfaction with the caring environment provided at Hillview was a continual theme mentioned in all resident and family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Te Kuiti Hospital. Staff knew how to do so and brochures on the service were easily accessible.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r w:rsidRPr="00BE00C7">
              <w:rPr>
                <w:rFonts w:cs="Arial"/>
                <w:b w:val="0"/>
                <w:lang w:eastAsia="en-NZ"/>
              </w:rPr>
              <w:t>Residents of Hillview have access to free Wi-Fi and are enabled to communicate with outside sources as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monthly reports to the trust board showed adequate information to monitor performance is reported including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been acting in the general manager (GM) role since February 2019, with day to day support from the household manager and the board. Interviews for the role have been occurring. Senior management and the board maintain knowledge of the sector, regulations and reporting requirements by attending regular meetings with other aged care managers in the Community Trust Care Association (CTCA) Community Trust Care Association is a business entity set up by of group of aged care facilities who are located rurally and governed by not for profit organisations.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Waikato DHB for hospital-geriatric, rest home, palliative, long term support-chronic health conditions and respite care. On the first day of audit, there were 45 residents on site. Nineteen of these were rest home level care and 23 were hospital level care including one resident on respite. There were an additional three people under the age of 65 years with long term support-chronic health conditions. Two were assessed at rest home level care and one at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GM is absent, the clinical manager carries out all the required duties under delegated authority. During absences of key clinical staff, the clinical management is overseen by a senior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an established quality and risk system that reflects the principles of continuous quality improvement. This includes management of incidents including infections and complaints, audit activities, regular resident and family satisfaction surveys, internal audits and the monitoring of outcomes. All incidents/accidents, infections, restraints and complaints are collated as quality data, analysed and compared month by month for trends. An overview of this data is reported to the board each month.  A sample of meeting minutes confirmed that this data and other related information is also discussed at the weekly senior leadership team meeting, and to the monthly health and safety meetings, registered nurse (RN), health care assistant (HCA) and general staff meetings. Staff reported their involvement in quality and risk management activities through audit activities, training and information shared at their meetings.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Resident and family satisfaction surveys are completed annually. Results of the most recent survey showed a high level of satisfaction and no significant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of 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two board members and all members of the senior leadership team demonstrated how they monitor and manage risks, and their responsibilities under the Health and Safety at Work Act (2015). There have been no serious staff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All incidents are reviewed by the senior leadership team and signed off by the clinical manager (CM). Where further investigation or improvement is required, corrective actions are recorded and there are processes to ensure actions are implemented and then closed off in a timely manner.  A range of adverse event data, for example, falls-with and without injury, urinary tract infections (UTIs) and skin tears is collated, and reported to CTCA for benchmarking each month. Hillview’s month by month data analysis reports are discussed at all staff meetings and pictorial graphs are on display in the staff training and handover room.  A mobility improvement plan initiated in late 2018 which succeeded in significantly reducing resident falls, is rated continuous improvement in criterion 1.4.2.3</w:t>
            </w:r>
          </w:p>
          <w:p w:rsidR="00EB7645" w:rsidRPr="00BE00C7" w:rsidP="00BE00C7">
            <w:pPr>
              <w:pStyle w:val="OutcomeDescription"/>
              <w:spacing w:before="120" w:after="120"/>
              <w:rPr>
                <w:rFonts w:cs="Arial"/>
                <w:b w:val="0"/>
                <w:lang w:eastAsia="en-NZ"/>
              </w:rPr>
            </w:pPr>
            <w:r w:rsidRPr="00BE00C7">
              <w:rPr>
                <w:rFonts w:cs="Arial"/>
                <w:b w:val="0"/>
                <w:lang w:eastAsia="en-NZ"/>
              </w:rPr>
              <w:t>The acting GM described essential notification reporting requirements, including for pressure injuries. There have been three notifications of significant events made to the Ministry of Health and DHB since the previous audit. These include a stage four pressure injury in April 2019, an unexpected death in October 2018 which was reviewed by the coroner, and the change of manager in February 2019. There have been no police investigations, or issues based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police and referee checks, and validation of qualifications and practising certificates (APCs), where required.  The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at the end of 90 days.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There are two registered nurses who are maintaining their annual competency requirements to undertake interRAI assessments and one more is due to complete this. All of the RNs have undertaken training in peritoneal dialysis.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staff records reviewed contained evidence of attendance at regular training and participation in an annual performance appraisal. All of the RNs hold current first aid certificates and are peer assessed annually for medicine competencies.  Some of the senior HCAs are maintaining competencies in medicine administration, and although they do not administer medicines they act as verifiers of controlled drugs.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as determined by the resident’s current needs and acuity.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All RNs and some senior HCAs hold a current first aid certificate ensuring at least one person is on site with a current certificate. There is 24 hour/seven days a week (24/7) RN coverage.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clinical manager (CM). Written information about the service and the admission process is provided.</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Waikato District Health Boards (WDHB)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another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Guides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inhalation medications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and meet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November 2017.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and registered with the Waitomo District Council. A verification audit of the food control plan took place 27 September 2018. Areas identified as requiring improvement have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in resident and family interviews, satisfaction surveys and resident meeting minutes. Any areas of dissatisfaction were promptly responded to. Residents were seen to be given time to eat their meal in an unhurried fashion and those requiring assistance had this provided. There were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 new placement is found, in consultation with the resident and whānau/family.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Hillview are initially assessed using a range nursing assessment tools such as pain scale, falls risk, skin integrity, nutritional screening and depression scale to identify any deficits and to inform initial care planning. Within three weeks of admission new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verified the RNs are familiar with the requirement for reassessment of a resident using the interRAI assessment tool when a resident has increasing or changing need levels. </w:t>
              <w:br/>
              <w:br/>
              <w:t>All residents have current interRAI assessments completed by one of two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diversional therapist Monday to Friday and an activities coordinator on the weekend.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is diverse and matches the skills, likes, dislikes and interests identified in assessment data. Activities reflected residents’ goals, ordinary patterns of life and include normal community activities. Individual, group activities and regular events are offered. An initiative aimed at reducing the number of falls, and fractures includes a morning exercise programme implemented with guidance from the physiotherapist. Each week residents peel the vegetables they have grown in their vegetable garden, to make the vegetable soup. Once a week, the residents do the baking for the afternoon tea request that day. A diverse range of activities are observed to occur each day. Articles knitted by residents are on display for sale, as are several trinkets and artwork the residents have made. Community involvement and participation at Hillview is high. Entertainment is observed to occur each day. The activities programme is discussed at the monthly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 An interview with a resident under 65 years verified Hillview staff support the resident to participate in community activities as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progress is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All staff who handle chemicals have completed safe chemical handling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expiry date 01 July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Three of the hospital designated bedrooms have been completely refurbished with plans to continue updating the remaining rooms as funds become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said that they are happy with the environment and confirmed they know the processes they should follow if any repairs or maintenance is required. Review of maintenance journals demonstrated that requests were appropriately actioned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of the bedrooms have a hand basin. The hot water temperatures are tested monthly, and the records sighted show no temperatures over 45 degrees in residents rooms.  There are six bedrooms with full ensuite bathrooms, and six with their own toilets, otherwise residents use the shared toilet/shower facilities.  There are adequate numbers of these located in close proximity to resident bedrooms and common areas. All of the bathrooms inspected were in good condition, apart from one shower room which requires new wall linings. An improvement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52 bedrooms available, eight are designated for hospital level care and a further 11 are designated as dual service beds. Three hospital bedrooms and a whanau room have been fully refurbished with new furniture, curtaining, floor and wall surfaces. The renovated rooms provide plenty of easily accessible storage, a flat screen wall mounted television, easy chair and hospital bed. Renovations include features that mitigate property damage such as wall guards. The plan is to refurbish all of the west wing bedrooms as funds allow.  </w:t>
            </w:r>
          </w:p>
          <w:p w:rsidR="00EB7645" w:rsidRPr="00BE00C7" w:rsidP="00BE00C7">
            <w:pPr>
              <w:pStyle w:val="OutcomeDescription"/>
              <w:spacing w:before="120" w:after="120"/>
              <w:rPr>
                <w:rFonts w:cs="Arial"/>
                <w:b w:val="0"/>
                <w:lang w:eastAsia="en-NZ"/>
              </w:rPr>
            </w:pPr>
            <w:r w:rsidRPr="00BE00C7">
              <w:rPr>
                <w:rFonts w:cs="Arial"/>
                <w:b w:val="0"/>
                <w:lang w:eastAsia="en-NZ"/>
              </w:rPr>
              <w:t>There is room on site to store mobility aids, wheel chairs and mobility scooters. Residents and their families were happy with the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There is one main dining area and a large lounge which are easily accessible for residents and staff.  Additional to this are four smaller lounges for residents to use for visits or privacy, if required.  Furniture is appropriate to the setting and residents’ needs. Improvements have been made to the way the dining area is utilised. People who require assistance with eating, begin their meals half an hour earlier, which means they have sufficient time to finish their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recreation room/main lounge is very well utilised by all residents who are provided with a range of entertainment and activity there.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Bulk laundry services are provided by an external contractor who collects and delivers laundry three times a week. Residents’ clothing and other small items are laundered on site in a fit for purpose laundry by a designated laundry staff member six days of the week.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Designated cleaners are on site for up to six hours each every day. They attend regular training in subjects appropriate to their roles, as confirmed in interview and sighted in rosters and training records.  Chemicals were stored in lockable cupboards and were in appropriately labelled containers. All areas inspected throughout the facility were spotlessly clean. The methods for cleaning are reviewed and new systems are introduced if required. Residents and their families commented that the home was always clean and odourless. Cleaning and laundry processes are monitored for effectiveness through the internal audit programme. These audits have revealed no issues of concern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fire evacuation plan is approved by the New Zealand Fire Service. Trial evacuations are taking place six-monthly with a copy sent to the New Zealand Fire Service, the most recent being in December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staff orientation programme includes fire and security training.  Staff confirmed their awareness of the emergency procedures. </w:t>
            </w:r>
          </w:p>
          <w:p w:rsidR="00EB7645" w:rsidRPr="00BE00C7" w:rsidP="00BE00C7">
            <w:pPr>
              <w:pStyle w:val="OutcomeDescription"/>
              <w:spacing w:before="120" w:after="120"/>
              <w:rPr>
                <w:rFonts w:cs="Arial"/>
                <w:b w:val="0"/>
                <w:lang w:eastAsia="en-NZ"/>
              </w:rPr>
            </w:pPr>
            <w:r w:rsidRPr="00BE00C7">
              <w:rPr>
                <w:rFonts w:cs="Arial"/>
                <w:b w:val="0"/>
                <w:lang w:eastAsia="en-NZ"/>
              </w:rPr>
              <w:t>Civil defence stores include food, blankets, mobile phones and portable gas to provide for a maximum of 52 residents and staff for up to five days. The system was sighted and discussed with the household manager and maintenance personnel. The site uses town supply water and has an additional 1000 litres of water for emergency use.  There is a generator on site. Emergency lighting is regularly tested and often used because of frequent power outages.</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Doors and windows are locked each evening at a predetermined time to maintain security. There have been no security incidents in recent years. Since the previous audit, a closed circuit television system has been installed in main areas primarily for use in reviewing unwitnessed incidents. Residents, families and staff were all informed and have no issues with the CCTV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heat pumps in the common areas and portable fin radiator heaters in residents’ rooms. More cost effective heating systems are being trialled. All parts of the home were warm and well ventilated throughout the audit and residents and families confirmed the environment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that was developed at organisational level with input from the CM.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CM is the designated infection control nurse coordinator, whose role and responsibilities are defined in a job description. Infection control matters, including surveillance results, are reported monthly to the CM and tabled at the senior leadership meeting, staff meeting and the health and safety meeting. The infection control committee meets three monthly to discuss any infection control concerns. Infection control statistics are entered in the organisation’s electronic database and benchmarked within the organisation’s other facilities.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appropriate skills, knowledge and qualifications for the role; however, has been in this role for only a short time and is being assisted by the CSM.  The infection control coordinator has undertaken post graduate training in infection prevention and control and attended relevant study days, as verified in training records sighted. Well-established local networks with the infection control team at the DHB are available and expert advice from the community laboratory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and CM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infection control coordinator.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and CM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CTCA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provider’s policies meet the requirements of these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the restraint register listed four residents using bed rails and/or lap belts and fall out chairs as restraint interventions and six residents using bedrails as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same assessment and consent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records reviewed, contained evidence that a comprehensive assessment of the resident’s status and risks had been conducted prior to implementing a restraint intervention and that alternatives had been tried. Approval to use restraints are granted by the general practitioner, and restraint committee and valid consent is obtained by either the resident or their authorised next of kin (NoK). There was evidence of ongoing monitoring and review of each restraint intervention. </w:t>
            </w:r>
          </w:p>
          <w:p w:rsidR="00EB7645" w:rsidRPr="00BE00C7" w:rsidP="00BE00C7">
            <w:pPr>
              <w:pStyle w:val="OutcomeDescription"/>
              <w:spacing w:before="120" w:after="120"/>
              <w:rPr>
                <w:rFonts w:cs="Arial"/>
                <w:b w:val="0"/>
                <w:lang w:eastAsia="en-NZ"/>
              </w:rPr>
            </w:pPr>
            <w:r w:rsidRPr="00BE00C7">
              <w:rPr>
                <w:rFonts w:cs="Arial"/>
                <w:b w:val="0"/>
                <w:lang w:eastAsia="en-NZ"/>
              </w:rPr>
              <w:t>Training records and interviews showed that all staff attend at least one education session on restraint and management of challenging behaviour and use of de-escalation each year.  All new staff are provided with information about the restraint policy, philosophy and approach during their orientation.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has recently designated another RN as the restraint coordinator (RC). The role and responsibilities are contained in a position description which describes oversight of all restraint in use with support from the restraint committee. This person provides support and oversight for enabler and restraint management throughout the facility and demonstrated a sound understanding of the organisation’s policies and procedures and the practices required from this standard.</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committee is comprised of the CM, the RC, a senior HCA, and a Health and Safety representative.  The committee convenes every three months or as needed to review and consider restraint assessments and make approval. There was clear approval for use of restraint on the records reviewed and interview with the coordinator confirmed clear lines of accountability. 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restraint coordinator described the documented process which involves them undertaking the initial assessment with input from the other RNs and the resident’s family/whānau/EPOA. Families confirmed their involvement. The general practitioner sign off is part of the decision to use a restraint intervention. The assessment process identified the underlying cause, history of restraint use, cultural considerations, alternatives and associated risks. The desired outcome for all restraint use was to ensure the resident’s safety, security and promote mobilisation. Fully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 is actively minimised through the use of low beds, alarm mats and shaped mattresses to prevent any rolling out of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alternatives considered and trialled were documented in the restraint forms and in the care plan. All staff are aware of alternatives and seek new ideas.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records the type of restraint in use, the frequency of monitoring and review and the date it was initiated.  An electronic restraint register is maintained, reviewed and updated by the restraint coordinator whenever a change is made. The register sighted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Staff meeting minutes showed that use of restraint, policy and procedures and related topics are discussed frequently. Staff attend mandatory education and must pass an annual restraint competency test. The staff interviewed understood that the use of restraint is intended to be minimised and how to maintain safety when a restraint is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by the restraint coordinator within three weeks of commencing use and then re-evaluated during care plan and interRAI reviews every six months.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this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and the documentation sighted for example, a sample of restraint committee meeting minutes, and the documented 2019 quality review, RN and staff meeting minutes, confirmed that a comprehensive review of restraint use/trends has occurred since the previous audit. The restraint coordinator consults with the clinical manager about the frequency and efficacy of staff education on restraint and whether changes are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903"/>
        <w:gridCol w:w="1280"/>
        <w:gridCol w:w="4134"/>
        <w:gridCol w:w="1936"/>
        <w:gridCol w:w="16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1.4.3.1</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sufficient toilets and showers and a bed bath located throughout the facility. These are being upgraded as funds allow.</w:t>
            </w:r>
          </w:p>
          <w:p w:rsidR="00EB7645" w:rsidRPr="00BE00C7" w:rsidP="00BE00C7">
            <w:pPr>
              <w:pStyle w:val="OutcomeDescription"/>
              <w:spacing w:before="120" w:after="120"/>
              <w:rPr>
                <w:rFonts w:cs="Arial"/>
                <w:b w:val="0"/>
                <w:lang w:eastAsia="en-NZ"/>
              </w:rPr>
            </w:pPr>
            <w:r w:rsidRPr="00BE00C7">
              <w:rPr>
                <w:rFonts w:cs="Arial"/>
                <w:b w:val="0"/>
                <w:lang w:eastAsia="en-NZ"/>
              </w:rPr>
              <w:t>The walls in one shower room require repair.  The materials for repair were procured during the audit and maintenance staff stated that replacement will be completed within five working days, which is why the timeframe for this corrective action is 30 days.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wet wall linings of a shower cubicle in the far west wing are degraded and broken at the base which poses a risk.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Replace wet wall lining to ensure the surfaces are intact to provide good infection control and hygiene.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92"/>
        <w:gridCol w:w="1280"/>
        <w:gridCol w:w="7925"/>
        <w:gridCol w:w="23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plan to reduce resident falls was initiated in November 2018. At the time there were more than 20 falls being reported each month and six of these resulted in fractures (one required surgery). An internal audit showed 30% of residents had never been assessed by the physiotherapist and 90% did not have individual exercise plans. The CM and contracted physiotherapists agreed to a number of actions which included more targeted physiotherapy input so at least five residents were assessed each week, and reviewed at the same time as their interRAI reassessments were due, allocating an HCA as a physiotherapy assistant, and implementing daily group and 1:1 strengthening and balancing exercises,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now been assessed and 100% have their own exercise pictograms in their room. Mobility ‘Q’ cards have been developed for each hospital resident.  Every new resident is assessed by the visiting physio within a week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have reduced from on average 22 per month to less than 10 a month as a result of more focused interventions to enhance the falls management program. There have been no fractures to date this year.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Hillview Trust Incorporated - Hillview Home and Hospital</w:t>
    </w:r>
    <w:bookmarkEnd w:id="58"/>
    <w:r>
      <w:rPr>
        <w:rFonts w:cs="Arial"/>
        <w:sz w:val="16"/>
        <w:szCs w:val="20"/>
      </w:rPr>
      <w:tab/>
      <w:t xml:space="preserve">Date of Audit: </w:t>
    </w:r>
    <w:bookmarkStart w:id="59" w:name="AuditStartDate1"/>
    <w:r>
      <w:rPr>
        <w:rFonts w:cs="Arial"/>
        <w:sz w:val="16"/>
        <w:szCs w:val="20"/>
      </w:rPr>
      <w:t>30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