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Woodcote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Woodcote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May 2019</w:t>
      </w:r>
      <w:bookmarkEnd w:id="7"/>
      <w:r w:rsidRPr="009418D4">
        <w:rPr>
          <w:rFonts w:cs="Arial"/>
        </w:rPr>
        <w:tab/>
        <w:t xml:space="preserve">End date: </w:t>
      </w:r>
      <w:bookmarkStart w:id="8" w:name="AuditEndDate"/>
      <w:r w:rsidR="00A4268A">
        <w:rPr>
          <w:rFonts w:cs="Arial"/>
        </w:rPr>
        <w:t>21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Woodcote provides rest home care for up to 56 residents.  On the day of the audit there were 51 residents including two in the serviced apartments.  The service is managed by an experienced village manager who has been in the role seven and a half years.  She is supported by a clinical manager who has been in the role four months.  The management team is supported by the Ryman management team including a regional manager and operations and quality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r w:rsidRPr="00A4268A">
        <w:rPr>
          <w:rFonts w:eastAsia="Calibri"/>
        </w:rPr>
        <w:t xml:space="preserve">The service is commended for achieving continuous improvement ratings around recognition of Māori values, good practice, communication, quality risk programme, staff education, food service and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w:t>
      </w:r>
    </w:p>
    <w:p w:rsidRPr="00A4268A">
      <w:pPr>
        <w:spacing w:before="240" w:line="276" w:lineRule="auto"/>
        <w:rPr>
          <w:rFonts w:eastAsia="Calibri"/>
        </w:rPr>
      </w:pPr>
      <w:r w:rsidRPr="00A4268A">
        <w:rPr>
          <w:rFonts w:eastAsia="Calibri"/>
        </w:rPr>
        <w:t xml:space="preserve">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village manager and clinical manager are responsible for the day-to-day operations.  Goals are documented for the service with evidence of regular reviews.  Ryman Woodcote has a well-established quality and risk management system that is directed by Ryman Christchurch.  Quality and risk performance is reported across the various facility meetings and to the organisation's management team.  Woodcote provides clinical indicator data for the rest home services being provided.</w:t>
      </w:r>
    </w:p>
    <w:p w:rsidRPr="00A4268A">
      <w:pPr>
        <w:spacing w:before="240" w:line="276" w:lineRule="auto"/>
        <w:rPr>
          <w:rFonts w:eastAsia="Calibri"/>
        </w:rPr>
      </w:pPr>
      <w:r w:rsidRPr="00A4268A">
        <w:rPr>
          <w:rFonts w:eastAsia="Calibri"/>
        </w:rPr>
        <w:t>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Ryman Woodcote has a comprehensive admission pack that includes information on all the levels of care and services provided.  The registered nurse and clinical manager are responsible for all stages in the provision of care including interRAI assessments, risk assessments, development of care plans and evaluations using the myRyman system.  Resident files demonstrate service integration.  Residents and relatives interviewed confirmed they were involved in the care plan process and review and were informed of any changes in resident health status.  The general practitioner completes an admission visit and reviews the residents at least three-monthly.  </w:t>
      </w:r>
    </w:p>
    <w:p w:rsidRPr="00A4268A" w:rsidP="00621629">
      <w:pPr>
        <w:spacing w:before="240" w:line="276" w:lineRule="auto"/>
        <w:rPr>
          <w:rFonts w:eastAsia="Calibri"/>
        </w:rPr>
      </w:pPr>
      <w:r w:rsidRPr="00A4268A">
        <w:rPr>
          <w:rFonts w:eastAsia="Calibri"/>
        </w:rPr>
        <w:t xml:space="preserve">The activity team provides an activity programme which is varied and interesting.  The programme meets the abilities and recreational needs of the different groups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The menu is designed by a dietitian at an organisational level.  All baking and meals are cooked on site.  Individual and special dietary needs are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but 11 bedrooms are single occupancy with ensuites.  There are adequate numbers of communal toilets and showers.  There is sufficient space to allow the movement of residents around the facility.  The hallways and communal areas are spacious and accessible.  The outdoor areas were safe and easily accessible.  There is a person on duty at all times with first aid training.  Housekeeping staff maintain a clean and tidy environment.  All laundry services are managed on site.  </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were no residents using enablers or restraints.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holds integrated meetings with the health and safety team.  A monthly infection control report is completed and forwarded to head office for analysis and benchmarking.  A six-monthly comparative summary is completed.  The infection prevention and control programme includes policies and procedures to guide staff.  Surveillance data identifies trends and areas for improvement.  Organisational benchmarking occurs.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5</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7</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5"/>
        <w:gridCol w:w="1280"/>
        <w:gridCol w:w="93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Three managers (one village manager, one clinical manager and one operation quality manager) and eight care staff; one registered nurse (RN); five caregivers and two diversional therapists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relatives on admission.  Written general consents reviewed in eight resident files including one rest home resident in the serviced apartments were signed by the resident or their enduring power of attorney (EPOA).  Copies of EPOA are kept on the resident’s file where required.  Caregivers and registered nurse (RN) interviewed, confirmed verbal consent is obtained when delivering care.  Discussion with relatives stated that the service actively involves them in decisions that affect their relative’s lives.  Advanced directives are signed for separately.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eight resident files reviewed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readily available.  Information about complaints is provided on admission.  Interviews with residents and family confirmed their understanding of the complaints process.  Staff interviewed could describe the process around reporting complaints.  There is a complaint’s register that includes written and verbal complaints, dates and actions taken and demonstrates that complaints are being managed in a timely manner.  There were three complaints made in 2018 and none received in 2019 year to date.  All complaints reviewed were documented as resolved.  Corrective actions have been implemented and any changes required were made because of the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Five relatives and eight residents stated they were provided with information on admission which included the Code.  Large print posters of the Code and advocacy information are displayed throughout the facility.  The village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occurring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Cultural needs are addressed in the care plan.  There were two residents who identified as Māori at the time of the audit.  Ryman Woodcote has established links with local iwi (Te Puawaitangi ki Otautahi Trust Hornby and Taumutu Marae Ngai Tahu) and other community representative groups as requested by the resident/family.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(formerly known as head office) for collating, monitoring and benchmarking between facilities.  Indicators include resident incidents by type, resident infections by type, staff incidents or injuries by type and resident and relative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provided to staff via the various meetings as determined by the Ryman programme (previously known as Ryman Accreditation Programme RAP).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 arises.  Evidence of families being kept informed is documented on the electronic database and in the residents’ progress notes.  Five family interviewed stated they were well-informed.  Twelve incident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Woodcote is a Ryman retirement village located in Christchurch.  The service provides care for up to 56 residents at rest home level care including seven beds in the serviced apartments.  On the day of audit there were 51 residents in total (including two rest home level of care in the serviced apartments).  All residents were under the ARCC agreement.</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2019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Woodcote is clinical and has been in the role for seven and a half years.  She is supported by a clinical manager/registered nurse (RN) who has been in the role for four months and has worked in practise and district nursing roles.  She is also supported by a regional manager and an operations quality manager and an administration receptionist.  The regional manager and operations and quality managers were present at times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from the regional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Woodcote has a well-established quality and risk management system that is directed by Ryman Christchurch.  Quality and risk performance is reported across the facility meetings and to the organisation's management team.  Discussions with the management team (village manager and clinical manager) and staff, and review of management and staff meeting minutes demonstrated their involvement in quality and risk activities.  Family meetings are held six monthly and residents’ meetings are held every two months.  Meeting minutes are maintained.  Annual resident and relative surveys are completed.  The 2018 resident satisfaction survey was completed with a 67% response rate and Woodcote scoring 13th overall against all Ryman facilities.  In 2019 there was a 93% response rate and the village ranked 11th out of 31 facilities.  Comments were very positive about most aspects of care, activities, food services staff and housekeeping services.  Quality improvement plans are completed with evidence that suggestions are addressed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available to all staff through the online myRyman library.  Policies are reviewed at a national level and are forwarded through to a service level in accordance with the monthly team Ryman quality programme.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Management systems, policies and procedures are developed, implemented and regularly reviewed.  Objectives are set annually and progress towards goals are reviewed at staff meetings.  The facility has implemented processes to collect, analyse and evaluate data, which is utilised for service improvements.  Results are communicated to staff across a variety of meetings and reflect actions being implemented and signed off when completed.  Falls prevention strategies are in place that include, intentional rounding, hi/lo beds, ongoing falls assessment, sensor mats, fall prevention pamphlets and appropriate footwear.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Two health and safety representatives (senior caregivers) were interviewed.  Risk management, hazard control and emergency policies and procedures are in place.  Ryman Woodcote has introduced the Ryman Stop and Think health and safety initiatives, increasing staff awareness and reporting of potential hazards.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A review of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Twelve incident/accident forms from across all areas of the service, identified that all are fully completed and include follow-up by a RN.  The clinical manager is involved in the adverse event process, with links to the applicable meetings (teamRyman, RN, staff, health and safety/infection control).  This provides the opportunity to review any incidents as they occur.  The village manager was able to identify situations that would be reported to statutory authorities including (but not limited to) infectious diseases, serious accidents and unexpected death.  A section 31 form was sighted for the reporting of a non-facility acquired grade 4 pressure injury, a facility acquired grade 3 pressure injury, a viral outbreak and an intruder event.  The intruder event was well managed and involved staff support and increased security arrangements.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Seven staff files reviewed (one clinical manager, one RN, three caregivers, one chef and one activities coordinator) provided evidence of signed contracts, job descriptions relevant to the role the staff member is in, induction, application form and reference checks.  A register of RN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registered nurse are supported to maintain their professional competency.  The Village manager has attended a Ryman leadership programme.  Both the village manager and clinical manager have attended in excess of eight hours management related training in the last year.  Staff training records are maintained.  There are implemented competencies for RNs and caregivers related to specialised procedures or treatments, including medication competencies and insulin competencies.  Health practitioners and competencies policy outlines the requirements for validating professional competencies.  There are currently two RNs (including the clinical manager) working at Woodcote and both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A monthly staff appreciation award is presented to individual staff based on nominations from their peers.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works full time Monday to Friday and the clinical manager works Sunday to Thursday and share the on call on a week about basis.  There is at least one first aid trained member of staff on every shift.  Interviews with caregivers informed that the village manager, clinical manager and RN are supportive and approachable.  In addition, they reported there are sufficient staff on duty at all times.  Interviews with residents and relatives indicated there are generally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Staffing at Woodcote for 51 residents is as follows: The clinical manager works Sunday to Thursday and the RN works Thursday as a documentation day and Friday and Saturday.  On the AM shift: there are five caregivers (two long and three short), PM shift: four caregivers (two long and two short) and night shift two caregivers.  A qualified diversional therapist provides a Monday to Friday programme 9.30 am to 4.30 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This includes electronic records.  Resident files are protected from unauthorised access.  Entries are legible, dated and signed by the relevant care assistant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 comprehensive admission policy.  Information gathered on admission is retained in residents’ records.  The relatives interviewed stated they were well informed upon admission.  The service has a well-developed information pack available for residents/families/whānau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reviewed aligns with the service’s contracts for long-term and short-term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The facility uses the yellow envelope system for hospital admissions/transfers.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four weekly blister packs is completed by one RN and one senior caregiver and any errors fed back to the pharmacy.  Registered nurses, and senior care assistants who administer medications have been assessed for competency.  The service uses an electronic medication system.  Care staff interviewed could describe their role in regard to medicine administration.  Education around safe medication administration has been provided.  Medications were stored safely.  Medication fridges were monitored weekly.  All eye drops and creams in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self-medicating residents in the rest home and no self-medicating rest home residents in the serviced apartments.  The medications are kept in a locked drawer in the resident rooms.  The RNs assess competency three-monthly which is signed off by the GP.  The competency is kept on file in the residents’ paper file and in the treatment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on the electronic medication system.  All medication charts had photographs and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 site.  There are two qualified chefs supported by kitchen assistants.  The dining room is adjacent to the kitchen, all meals are served through the servery, and the chef maintains regular contact with the residents when serving meals.  Meals for the serviced apartments are delivered in hot boxes.  All staff have been trained in food safety and chemical safety.  There is an organisational four weekly seasonal menu that had been designed in consultation with the company chef and the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pureed/soft, diabetic desserts, vegetarian and gluten free are provided.  A food control plan is in place and due to be reviewed in June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twice daily.  Chilled goods temperature is checked on delivery.  Twice daily food temperatures are monitored and recorded.  All foods were date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the service is received from daily resident contact, resident meetings, surveys and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residents/relatives/whānau.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and risk assessments have been completed on admission and reviewed six-monthly as part of the evaluation process.  The outcomes of interRAI assessments and risk assessments that were triggered were reflected in the myRyman care plans reviewed.  There is an extensive suite of additional assessment blocks that assess resident needs holistically, including but not limited to: cultural, diabetes, falls, hearing, vision, food and fluid.  These were completed according to need and generate interventions and narrative completed by the RN that were transferred to the care plan.  Assessment blocks are completed when there is a change of health status or incident and as part of completing the six-month care plan review.  When assessments are due to be completed these are automatically scheduled in the RNs electronic daily calendar.  All assessments and interventions updated are included in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individualised and demonstrated service integration and input from allied health.  The long-term care plan outlines objectives of nursing care, setting goals, and details of implementation required to ensure the resident’s individual needs are met.  The myRyman programme identified interventions that cover a comprehensive set of goals including medical needs.  Key symbols on the resident’s electronic home page identity current needs such as (but not limited to); current infections, falls or wounds.  There was documented evidence of resident/relative/whānau involvement in the care planning process in the long-term files reviewed.  Residents and relatives interviewed confirmed they were involved in the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The myRyman system triggers alerts to staff when monitoring interventions are required.  These are automatically generated on the electronic daily schedule for the caregiver to complete.  Individual surface devices in each resident room provide caregivers the opportunity to sign the task has been completed, (eg, intentional rounding, fluids given).  Short-term care plans are generated through completing an updated assessment on myRyman, and interventions are automatically updated into the care plan.  Evaluations of the assessment when resolved, completes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six residents with wounds.  These included one resolving stage three pressure injury, three skin tears, and two residents with chronic cancer lesions.  All wound assessments and management plans and evaluations are completed on myRyman.  When wounds are due to be dressed a task is automated on the RN daily schedule.  The registered nurse interviewed could describe access to the Nurse Maude wound specialist nurses, continence nurse and the dietitian if required.  The GP reviews wounds three monthly or earlier if there are signs of infection or non-healing.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two diversional therapists (DTs) to deliver the Engage programme across the rest home serviced apartments and town houses.  Both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Rest home residents in the serviced apartments attend either the serviced apartment programme or the rest home.  There are adequate resources available.  Residents receive programmes in their rooms.  Daily contact is made with residents who choose not to be involved in the activity programme.  There is a men’s group who enjoy trips to the local pub, play pool and enjoy a beer.  The DT team seek suggestions from residents for the activities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interdenominational church services are held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 and relatives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had been evaluated by registered nurses at least six monthly and when there are changes in resident condition.  The care plan icon changes colour to yellow when changes and updates have occurred.  Evaluations for residents describe the resident’s progress against the residents identified goals and any changes are updated on the long-term care plan.  There is at least a three-monthly review by the medical practitioner.  The family are notified of the outcome of the review if unable to attend.  The family members interviewed confirmed they had been invited to attend the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Discussion with the clinical manager and the RN identified that the service has access to a wide range of support either through the GP, Ryman specialists, Nurse Maude specialists and contracted allied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to guide staff in waste management.  Staff interviewed were aware of practices outlined in relevant policy.  Gloves, aprons and goggles are available, and staff were observed wearing personal protective clothing while carrying out their duties.  Chemicals were labelled correctly in original containers and stored safely throughout the facility.  Safety data 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30 May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corridors are wide and provide space for residents to mobilise using mobility aids.  Residents are able to access the outdoor gardens and courtyards safely with mobility aids.  Seating and shade is provided.  There is a designated smoking area.  The caregivers and registered nurses interviewed stated they have sufficient equipment to safely deliver the cares as outlined in the resident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works one day a week and is available for two days if required, and a full-time gardener addresses daily maintenance requests.  There is a 12-monthly planned maintenance schedule in place that includes the calibration of medical equipment and functional testing of weigh scales electric beds and hoists.  Hot water temperatures in resident areas are monitored and stable.  Contractors are available 24/7 for essential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Forty-three of forty-nine resident rooms have full ensuite facilities.  Eleven resident rooms have ensuite with toilet and basin only.  There are three communal showers for residents.  Communal toilets are located closely to the communal areas.  Toilets have privacy locks.  Residents interviewed confirmed their privacy was assured when staff were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and of an appropriate size to allow care to be provided and for the safe use and manoeuvring of mobility aids.  Mobility aids can be managed in toilets and ensuites.  Residents are encouraged to personalise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centrally located large dining area next to the entrance.  In the Springmead wing there is the piano lounge close to the entrance of Woodcote and the Springmead lounge.  In the Woodlands end there is the Woodlands lounge and the library.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lounges can be utilised for functions, activities, family room or quiet private time for visitors.  The communal areas were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chemical provider monitors the effectiveness of chemicals in the cleaning and laundry service.  Manuals are provided on usage of chemicals and data sheets are visible.  The service has a secure area for the storage of cleaning and laundry chemicals.  Laundry chemicals are within a closed system to the washing machine.  Laundry and cleaning audits were completed as per the Ryman programme.  The laundry has entry and exit doors.  There are dedicated cleaning and laundry staff on duty each day.  All linen and personal clothing is laundered on site.  Residents interviewed stated they were happy with the cleanliness of their bedrooms and communal areas.  Residents also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Battery operated emergency lighting is in place, which runs for at least two hours.  The facility has an on-site generator to run essential services.  There is a civil defence kit located in a central area which is checked regularly.  Supplies of stored drinkable water are stored in an unused townhouse garage.  There is sufficient water stored to ensure three litres per day for three days per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fire evacuation plan and fire drills take place six-monthly.  The last fire evacuation drill occurred on 24 April 2019.  Smoke alarms, sprinkler system and exit signs are in place.  There are alternative cooking facilities available with a gas barbeque and spare gas cylinders.  Gas heaters are available if required.  The call bell system is evident in resident’s rooms, lounge areas and toilets/bathrooms.  Serviced apartments have a call bell system, which is linked to staff pagers.  Staff advised that they conduct security checks at night, in addition to an external contractor.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are panel fan heaters on the walls throughout the building and in the resident’s rooms which can be controlled individually.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set out annually from head office and directed via the quality programme.  The programme is reviewed annually, and a six-month analysis is completed by the infection control and prevention office/clinical manager which is reported to Ryman Christchurch.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There are adequate hand sanitisers and signage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 section of staff from areas of the service.  The infection control officer (clinical manager) has completed Bug Control online infection control education.  The infection control indicators, prevention and analysis/trends of infections is reported monthly at the clinical meeting, the Team Ryman quality meeting and the full facility meeting.  The facility also has access to an infection prevention and control nurse specialist from the DHB,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comprehensive infection prevention and control policies that were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orientation/induction package includes specific training around hand </w:t>
            </w:r>
          </w:p>
          <w:p w:rsidR="00EB7645" w:rsidRPr="00BE00C7" w:rsidP="00BE00C7">
            <w:pPr>
              <w:pStyle w:val="OutcomeDescription"/>
              <w:spacing w:before="120" w:after="120"/>
              <w:rPr>
                <w:rFonts w:cs="Arial"/>
                <w:b w:val="0"/>
                <w:lang w:eastAsia="en-NZ"/>
              </w:rPr>
            </w:pPr>
            <w:r w:rsidRPr="00BE00C7">
              <w:rPr>
                <w:rFonts w:cs="Arial"/>
                <w:b w:val="0"/>
                <w:lang w:eastAsia="en-NZ"/>
              </w:rPr>
              <w:t>hygiene and standard precautions and training is provided both at orientation and as part of the annual training schedule.  All staff complete hand hygiene audits.  Infection control is an agenda item on the full facility and clinical meeting agenda.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There has been one viral respiratory outbreak in September 2018.  The outbreak was reported and appropriately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would only be used where it is clinically indicated and justified, and other de-escalation strategies have been ineffective.  The policies and procedures are comprehensive and include definitions, processes and use of restraints and enablers.  Restraint has not been used at Woodcote for over six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206"/>
        <w:gridCol w:w="5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1.1.4.2</w:t>
            </w:r>
          </w:p>
          <w:p w:rsidR="00EB7645" w:rsidRPr="00BE00C7" w:rsidP="00BE00C7">
            <w:pPr>
              <w:pStyle w:val="OutcomeDescription"/>
              <w:spacing w:before="120" w:after="120"/>
              <w:rPr>
                <w:rFonts w:cs="Arial"/>
                <w:b w:val="0"/>
                <w:lang w:eastAsia="en-NZ"/>
              </w:rPr>
            </w:pPr>
            <w:r w:rsidRPr="00BE00C7">
              <w:rPr>
                <w:rFonts w:cs="Arial"/>
                <w:b w:val="0"/>
                <w:lang w:eastAsia="en-NZ"/>
              </w:rPr>
              <w:t>Māori consumers have access to appropriate services, and barriers to access within the control of the organisation are identified and eliminated.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Woodcote increased resident and staff knowledge of Māori Tikanga and te reo Māori.  Staff were also upskilled on Te Tiriti o Waitangi and Māori models of health.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feedback from a resident, Woodcote management identified an opportunity to increase staff and resident knowledge and understanding of Māori culture.  An action plan was documented and included te reo Māori language with a word of the day and day of the week written in Māori on the activity’s noticeboard.  Staff and residents learnt a waiata and it was introduced at the beginning of meetings, weekly choir and special events.  In-service for staff provided knowledge of Te Tiriti o Waitangi, Māori culture and Te Whare Tapa Whā by an ARA tutor.  Further education on the concepts of Tapu and Noa was provided in March 2019.  The door labels are printed in te reo Māori on kitchen, library, toilet and bathroom doors.  Activities have included flax weaving for the residents by local kaumātua.  The facility has also developed strong relationships with the DHB older persons health kaumātua and a local Māori provider Te Puawaitanga ki Otautahi trust.  On the day of audit, staff were observed using te reo Māori in everyday conversation with Māori residents and family.  On interview caregivers were positive and very knowledgeable on all aspects of Māori culture.  The files of the Māori residents evidenced Māori culture was integrated throughout the care plan.  Verbal feedback form the two Māori residents and their whānau was very positive.   Verbal feedback from DHB representatives identified Woodcote as being a Māori friendly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Woodcote identified an increase in the occurrence of challenging behaviours as a result of incident analysis.  Management implemented an action plan which contributed to a significant decrease in incidents.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September 2018, key performance indicators identified an increase in challenging behaviour events.  As a result, an action plan was implemented which included additional training de-escalation and dementia training.  Staff also completed online dementia friend training.  Seven staff have attended external training on “my name is not dementia”.  Activities staff attended specific training on activities for residents with dementia and commenced Move and Groove music therapy.  The service has also introduced Nature Therapy.  Education on nature therapy has been provided by an external trainer and implementation includes a large television screen for the music lounge where nature scenes and music are continuously rotated providing a peaceful and relaxing environment.  As a result of the above, challenging behaviours have not been evidenced since November 2018.  Staff reported they are more proactive in engaging with the residents and finding meaningful and enjoyable activities and have developed positive ways to communicate and interact with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Communication between foreign staff and residents, relatives, GPs, health professionals and work colleagues has improved over the past 18 months to two years as a result of staff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Feedback from residents and relatives identified difficulties in understanding conversation from foreign staff.  Some of the foreign staff also reported they found communication with residents, relatives, medical staff and work colleagues difficult particularly in emergency and complex situations.  Woodcote introduced three initiatives with a goal of improving communication between residents, relatives, staff professionals and health.</w:t>
            </w:r>
          </w:p>
          <w:p w:rsidR="00EB7645" w:rsidRPr="00BE00C7" w:rsidP="00BE00C7">
            <w:pPr>
              <w:pStyle w:val="OutcomeDescription"/>
              <w:spacing w:before="120" w:after="120"/>
              <w:rPr>
                <w:rFonts w:cs="Arial"/>
                <w:b w:val="0"/>
                <w:lang w:eastAsia="en-NZ"/>
              </w:rPr>
            </w:pPr>
            <w:r w:rsidRPr="00BE00C7">
              <w:rPr>
                <w:rFonts w:cs="Arial"/>
                <w:b w:val="0"/>
                <w:lang w:eastAsia="en-NZ"/>
              </w:rPr>
              <w:t>English for Employees was scheduled to run over ten weeks in mid-2017.  An ESOL teacher from Hornby high school provided this, resulting in an improved understanding of English and in particular kiwi sayings.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Getting to know you, a Ryman-wide initiative was commenced with the intention of breaking down barriers and building understanding between residents and staff and different cultures.  Staff and residents shared photos and talked about their childhood at shared morning teas in September 2018.  Shared resident and staff afternoon tea was held.  Staff held a shared potluck tea.  Staff and residents worked together to produce a Woodcote recipe book with photos of the person who contributed the recipe.  The book will be published and made available for sale with the proceeds going towards Alzheimer’s NZ.  Specific resident likes and dislikes have been added to myRyman.  Residents grandchildren have been invited to join in triple A exercise programmes during the school holidays.  A number of combined resident and staff activities have been and continue to be scheduled such as “Sari Day” and sharing of childhood photos.   </w:t>
            </w:r>
          </w:p>
          <w:p w:rsidR="00EB7645" w:rsidRPr="00BE00C7" w:rsidP="00BE00C7">
            <w:pPr>
              <w:pStyle w:val="OutcomeDescription"/>
              <w:spacing w:before="120" w:after="120"/>
              <w:rPr>
                <w:rFonts w:cs="Arial"/>
                <w:b w:val="0"/>
                <w:lang w:eastAsia="en-NZ"/>
              </w:rPr>
            </w:pPr>
            <w:r w:rsidRPr="00BE00C7">
              <w:rPr>
                <w:rFonts w:cs="Arial"/>
                <w:b w:val="0"/>
                <w:lang w:eastAsia="en-NZ"/>
              </w:rPr>
              <w:t>The Ryman buddies’ programme, a Ryman-wide initiative is implemented to welcome foreign staff to the village and the area.  A monthly newsletter “Care Connection” is distributed to residents and relatives via emails.  The newsletter includes updates from the village manager and activities and lifestyle coordinators and provides an opportunity for residents and family to vote for the employee of the month in each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annual resident survey shows increased satisfaction, and staff and residents reported improved communication and appreciation of the Care Connection newsletter.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quality and risk management process in place.  A range of clinical indicator data are collected against each service level and reported through to Ryman Christchurch (formerly known as head office) for collating, monitoring and benchmarking between facilities.  Indicators include resident incidents by type, resident infections by type, staff incidents or injuries by type and resident and relative satisfaction.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r w:rsidRPr="00BE00C7">
              <w:rPr>
                <w:rFonts w:cs="Arial"/>
                <w:b w:val="0"/>
                <w:lang w:eastAsia="en-NZ"/>
              </w:rPr>
              <w:t>Woodcote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Woodcote is active in analysing data collected monthly, around accidents and incidents, infection control, restraint etc.  As a result of quality data, the village manager and clinical manager discuss the data at the monthly staff meetings and any identified trends or issues.  Any identified common themes around incidents/infections etc, results in further education.  Woodcote implemented a falls prevention and management QIP in November 2017 which focused on identifying strategies for the reduction of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Strategies included; residents experiencing frequent falls had a traffic light identification system, intentional rounding, decluttering of resident rooms and that call bells are within reach, continued falls prevention education for all staff and falls data analysis discussed weekly and available for all staff to view.  Staff made a poster for staff illustrating falls prevention strategies.  Attendance at triple A exercise programmes were actively promoted.  Documentation reviewed identified that strategies were regularly evaluated. The outcome achieved was that the falls rate decreased from over 20 per 1000 bed nights in November 2017 to 4.07 per 1000 bed nights in March 2019.  The monthly graph demonstrates a continued and sustained downward trend apart from two spikes which could be explained by individual resident ill health or delays in reassessment.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the village manager and clinical manager have attended in excess of eight hours management related training in the last year.  Staff training records are maintained.  There are implemented competencies for RNs and caregivers related to specialised procedures or treatments, including medication competencies and insulin competencies.  Health practitioners and competencies policy outlines the requirements for validating professional competencies.  There are currently two RNs (including the clinical manager) working at Woodcote and both are interRAI trained.  Quality initiatives have been developed around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Woodcote identified from a resident satisfaction survey in February 2018 that improvements in care satisfaction could be made.  A project to lift the abilities of caregivers (but not the scope) was implemented in July 2018.  Ryman Woodcote is rest home level of care only and as such, caregivers are often in charge.  Additional training was planned and provided for care staff around wound care, resident neurological observations, dementia physiology, pressure injury prevention and identification, Māori concepts of tapu and noa and the Māori model of health.  Weekly toolbox talks were provided on a variety of subjects such as the physiology of heart failure and the relevance of daily weighs.  Training on alcohol dependency was provided by Odyssey House and myRyman was introduced.  Wallet cards have been provided for quick neurological observation 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introduction of the additional training for caregivers, staff reported increased confidence and resident survey results from February 2018 to February 2019 demonstrate improved resident satisfaction with cares (increase of seven points).  Since the training, there has been a reduction in facility acquired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survey in 2018 identified a low satisfaction with food services.  Woodcote made a village objective for 2019 around improving the dining experience for residents.  Outdoor areas were upgraded, and new furniture was purchased to encourage residents to eat meals outside in nice weather.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was reviewed as a continuation of the Ryman ‘project delicious’ and included upgraded menu choices and printed menus for resident rooms.  Two options for the teatime meal were introduced, the fruit platters included the selection of five fresh fruits, and extra smoothies were added to the evening meals.  Changes were made to the evening meal routine to create a calm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coffee machine was purchased to provide percolated coffee at morning and afternoon teatimes, and there is a selection of flavoured teas available.  Feedback forms were provided for residents to write comments about the meals, and the village manager walks around at the mid-day meal to discuss meals with the residents.  Activities staff are welcoming residents to the dining room, and towelling protectors have been replaced with linen napkins.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resident survey showed an improvement in food satisfaction from 3.96 in 2018 to 4.05 in 2019.  The residents interviewed as part of the audit were complimentary of the meals and dining experience overall.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resident survey showed a decline in the satisfaction with the activities programme.  The aim was to improve the attendance at activities and their satisfaction to improve resident happiness and well-being.  Both activities staff completed DT training, (one is on the registration board of DT and provides support to newly qualified DTs in other facilities).  Both DTs completed “my name is not dementia” training in 2018 and attended conference.  The activities programme was reviewed and now includes men’s trips to a farm, a beer brewery, sports events (eg, cricket).  There has been joint trips with residents from townhouses and serviced apartments to Kaikoura, with another trip planned to Arthurs Pass.  There are rock ‘n’ roll and line dancing classes as well as the triple A exercises.  Residents use their own devices and are supported to use the SKYPE programme to contact friends and family.  Volunteers are utilised for one-on-one activities such as playing cards and reading with residents.  There are three home cats, and one resident with their own dog who resides in Woodcote.  There are more activities provided outdoors in the summertime.  One resident has their own garden bed and produces seasonal vegetables.  Art classes have been implemented as a resident expressed an interest in art, and Mr Whippy ice cream rounds have been started.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verbalised how much they enjoyed specific activities such as the trip to Kaikoura, the Mr Whippy ice creams, and dance classes.  Several residents clearly get emotional pleasure from spending time with the cats (sighted on audit).  The resident satisfaction in the 2019 resident survey went from 3.86 in 2018 to 4.03 in 2019.  There is an improved attendance of activities.  Verbal feedback from residents has been received around the one-on-one activities and the programme overall, as recorded at resident meetings and verbal feedback has been received from relatives.  The relatives and residents interviewed as part of the audit were very complimentary of the activities programme on offer.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Woodcote</w:t>
    </w:r>
    <w:bookmarkEnd w:id="58"/>
    <w:r>
      <w:rPr>
        <w:rFonts w:cs="Arial"/>
        <w:sz w:val="16"/>
        <w:szCs w:val="20"/>
      </w:rPr>
      <w:tab/>
      <w:t xml:space="preserve">Date of Audit: </w:t>
    </w:r>
    <w:bookmarkStart w:id="59" w:name="AuditStartDate1"/>
    <w:r>
      <w:rPr>
        <w:rFonts w:cs="Arial"/>
        <w:sz w:val="16"/>
        <w:szCs w:val="20"/>
      </w:rPr>
      <w:t>20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