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Sands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Sands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June 2019</w:t>
      </w:r>
      <w:bookmarkEnd w:id="7"/>
      <w:r w:rsidRPr="009418D4">
        <w:rPr>
          <w:rFonts w:cs="Arial"/>
        </w:rPr>
        <w:tab/>
        <w:t xml:space="preserve">End date: </w:t>
      </w:r>
      <w:bookmarkStart w:id="8" w:name="AuditEndDate"/>
      <w:r w:rsidR="00A4268A">
        <w:rPr>
          <w:rFonts w:cs="Arial"/>
        </w:rPr>
        <w:t>21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 new building, consisting of 44 dual purpose care suites.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Sands Apartments and Care Suites are part of Oceania Healthcare Limited. The Sands facility comprises of five levels on the north side of the building and four levels on the south side. The rest home and hospital dual purpose care suites are located on the second level. </w:t>
      </w:r>
    </w:p>
    <w:p w:rsidRPr="00A4268A">
      <w:pPr>
        <w:spacing w:before="240" w:line="276" w:lineRule="auto"/>
        <w:rPr>
          <w:rFonts w:eastAsia="Calibri"/>
        </w:rPr>
      </w:pPr>
      <w:r w:rsidRPr="00A4268A">
        <w:rPr>
          <w:rFonts w:eastAsia="Calibri"/>
        </w:rPr>
        <w:t xml:space="preserve">The reconfiguration of the new building at The Sands contain of dual-purpose care suites for up to 44 residents requiring rest home and hospital levels of care. </w:t>
      </w:r>
    </w:p>
    <w:p w:rsidRPr="00A4268A">
      <w:pPr>
        <w:spacing w:before="240" w:line="276" w:lineRule="auto"/>
        <w:rPr>
          <w:rFonts w:eastAsia="Calibri"/>
        </w:rPr>
      </w:pPr>
      <w:r w:rsidRPr="00A4268A">
        <w:rPr>
          <w:rFonts w:eastAsia="Calibri"/>
        </w:rPr>
        <w:t>This partial provisional audit was conducted to review a new building containing 44 dual purpose beds against the required subset of the Health and Disability Service Standards, and the facility’s contract with the district health board to establish the level of preparedness to provide reconfigured health and disability service. The audit process included the review of policies and procedures, review of staff files, observations and interviews with management and staff.</w:t>
      </w:r>
    </w:p>
    <w:p w:rsidRPr="00A4268A">
      <w:pPr>
        <w:spacing w:before="240" w:line="276" w:lineRule="auto"/>
        <w:rPr>
          <w:rFonts w:eastAsia="Calibri"/>
        </w:rPr>
      </w:pPr>
      <w:r w:rsidRPr="00A4268A">
        <w:rPr>
          <w:rFonts w:eastAsia="Calibri"/>
        </w:rPr>
        <w:t xml:space="preserve">The partial provisional audit identified five areas requiring improvement relating to validation of professional qualifications; appointment of appropriate service providers; orientation for staff; staff training; and service provider availability.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residential care services that will be provided at The Sands. Oceania mission, vision and values of the organisation are documented, displayed at the facility and included in residents’ and staff documentation.</w:t>
      </w:r>
    </w:p>
    <w:p w:rsidRPr="00A4268A">
      <w:pPr>
        <w:spacing w:before="240" w:line="276" w:lineRule="auto"/>
        <w:rPr>
          <w:rFonts w:eastAsia="Calibri"/>
        </w:rPr>
      </w:pPr>
      <w:r w:rsidRPr="00A4268A">
        <w:rPr>
          <w:rFonts w:eastAsia="Calibri"/>
        </w:rPr>
        <w:t>The new facility is managed by an appropriately qualified and experienced village and care manager. The village and care manager is supported in their role by a clinical manager and the guest and services manager. The clinical manager is a registered nurse, responsible for clinical management and oversight of services. The management team is supported by the regional clinical quality manager and Oceania management team members.</w:t>
      </w:r>
    </w:p>
    <w:p w:rsidRPr="00A4268A">
      <w:pPr>
        <w:spacing w:before="240" w:line="276" w:lineRule="auto"/>
        <w:rPr>
          <w:rFonts w:eastAsia="Calibri"/>
        </w:rPr>
      </w:pPr>
      <w:r w:rsidRPr="00A4268A">
        <w:rPr>
          <w:rFonts w:eastAsia="Calibri"/>
        </w:rPr>
        <w:t xml:space="preserve">Human resource policies and procedures guide practice. </w:t>
      </w:r>
    </w:p>
    <w:p w:rsidRPr="00A4268A">
      <w:pPr>
        <w:spacing w:before="240" w:line="276" w:lineRule="auto"/>
        <w:rPr>
          <w:rFonts w:eastAsia="Calibri"/>
        </w:rPr>
      </w:pPr>
      <w:r w:rsidRPr="00A4268A">
        <w:rPr>
          <w:rFonts w:eastAsia="Calibri"/>
        </w:rPr>
        <w:t xml:space="preserve">There is a documented rationale based on best practice for determining staffing levels and skill mix to provide safe service delivery.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Sands, which is a part of Oceania Health Care Limited, has policies and processes in place to ensure appropriate care. </w:t>
      </w:r>
    </w:p>
    <w:p w:rsidRPr="00A4268A" w:rsidP="00621629">
      <w:pPr>
        <w:spacing w:before="240" w:line="276" w:lineRule="auto"/>
        <w:rPr>
          <w:rFonts w:eastAsia="Calibri"/>
        </w:rPr>
      </w:pPr>
      <w:r w:rsidRPr="00A4268A">
        <w:rPr>
          <w:rFonts w:eastAsia="Calibri"/>
        </w:rPr>
        <w:t>The service’s medicine management system is part of the system used nationally throughout New Zealand by Oceania Healthcare Limited. The treatment and medicines rooms are fit for purpose and fully equipped. The service is implementing an electronic medicines management system, modelled on practices in their other facilities. There is an agreement with and local medical practice for the provision of medical care.</w:t>
      </w:r>
    </w:p>
    <w:p w:rsidRPr="00A4268A" w:rsidP="00621629">
      <w:pPr>
        <w:spacing w:before="240" w:line="276" w:lineRule="auto"/>
        <w:rPr>
          <w:rFonts w:eastAsia="Calibri"/>
        </w:rPr>
      </w:pPr>
      <w:r w:rsidRPr="00A4268A">
        <w:rPr>
          <w:rFonts w:eastAsia="Calibri"/>
        </w:rPr>
        <w:t>The food service policies and procedures are current. Oceania Healthcare Limited has a custom food control plan managed by the national culinary manager. Food services already commenced at The Sands as the service has residents residing in independent living suites. The food service is appropriate to the setting.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new building has been issued with a certificate for public use by the city council. The Fire and Emergency New Zealand have approved the fire evacuation scheme of the new facility.</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The new facility will provide residents’ accommodation in studios care suites and one-bedroom care suites. All care suites have ensuite bathrooms. The care suites are spacious enough to allow for resident care and ease of movement. There are accessible and safe external areas, such as patios and balconies. Lounges and dining areas are easily accessible. The facility has a functioning, monitored call bell system.  Essential security systems are in place to ensure resident and staff safety. </w:t>
      </w:r>
    </w:p>
    <w:p w:rsidRPr="00A4268A">
      <w:pPr>
        <w:spacing w:before="240" w:line="276" w:lineRule="auto"/>
        <w:rPr>
          <w:rFonts w:eastAsia="Calibri"/>
        </w:rPr>
      </w:pPr>
      <w:r w:rsidRPr="00A4268A">
        <w:rPr>
          <w:rFonts w:eastAsia="Calibri"/>
        </w:rPr>
        <w:t>There are documented and implemented policies and procedures for cleaning, laundry and waste management. Cleaning services will be provided seven days a week by household staff and laundry services will be contracted offsite.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Click here to enter text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prevention and control policies and processes guide infection prevention and control practice throughout Oceania facilities. The infection control programme content is appropriate for the size, complexity and degree of risk associated with the service. </w:t>
      </w:r>
    </w:p>
    <w:p w:rsidRPr="00A4268A">
      <w:pPr>
        <w:spacing w:before="240" w:line="276" w:lineRule="auto"/>
        <w:rPr>
          <w:rFonts w:eastAsia="Calibri"/>
        </w:rPr>
      </w:pPr>
      <w:r w:rsidRPr="00A4268A">
        <w:rPr>
          <w:rFonts w:eastAsia="Calibri"/>
        </w:rPr>
        <w:t xml:space="preserve">Infection prevention and control advice and support can be accessed at the Waitemata District Health Board, the infection prevention and control nurse specialist, microbiologist, general practitioners and infection control specialist organisations, if needed. </w:t>
      </w:r>
    </w:p>
    <w:p w:rsidRPr="00A4268A">
      <w:pPr>
        <w:spacing w:before="240" w:line="276" w:lineRule="auto"/>
        <w:rPr>
          <w:rFonts w:eastAsia="Calibri"/>
        </w:rPr>
      </w:pPr>
      <w:r w:rsidRPr="00A4268A">
        <w:rPr>
          <w:rFonts w:eastAsia="Calibri"/>
        </w:rPr>
        <w:t>The clinical manager is the infection control coordinator and has a job description in place for this role. The internal audit programme includes audit forms to review infection control processes. Pandemic resources are available in readiness should an infection or outbreak occur.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8"/>
        <w:gridCol w:w="1280"/>
        <w:gridCol w:w="100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Sands Care Suites is a new build facility. Commencement of residents’ admissions to the facility is planned for early August 2019 following HealthCERT approval.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Sands is part of Oceania Healthcare Limited (Oceania) with the executive management team providing support to the facility. The Oceania operations manager, the project manager and the regional clinical and quality manager (CQM) and the regional maintenance manager provided support during this partial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 documented vision, mission and values statements. These will be communicated to residents, staff and family through information in booklets and to staff during their orientation and staff training (refer to 1.2.7.4 and 1.2.7.5).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village and care manager (VCM) who has background in nursing and has been in this position since December 2018. They have a qualification and experience in health services management. The VCM is supported in their role by a clinical manager (CM), guest services manager (GSM) and the Oceania management team. The CM is a registered nurse (RN) and has been in this position since 20 May 2019 and has had over 6 years of experience in aged residential care. The appointment of the CM has been notified to HealthCERT and the district health board (DHB). The GSM is a new position in Oceania. The GSM has been employed for The Sands and commenced employment one month ago. The GSM’s responsibilities include but not limited to: overseeing the cleaning and laundry services; residents’ activities; residents’ external appointments and family support.</w:t>
            </w:r>
          </w:p>
          <w:p w:rsidR="00EB7645" w:rsidRPr="00BE00C7" w:rsidP="00BE00C7">
            <w:pPr>
              <w:pStyle w:val="OutcomeDescription"/>
              <w:spacing w:before="120" w:after="120"/>
              <w:rPr>
                <w:rFonts w:cs="Arial"/>
                <w:b w:val="0"/>
                <w:lang w:eastAsia="en-NZ"/>
              </w:rPr>
            </w:pPr>
            <w:r w:rsidRPr="00BE00C7">
              <w:rPr>
                <w:rFonts w:cs="Arial"/>
                <w:b w:val="0"/>
                <w:lang w:eastAsia="en-NZ"/>
              </w:rPr>
              <w:t>The aged residential care contracts will be negotiated with the DHB once the facility is certified. The service plans to accept residents requiring rest home and hospital levels of care. The new building has been constructed with 44 dual purpose care suites.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this partial provisional audit there were no residents residing at the new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VCM, the regional CQM or the Oceania relief business and care manager would oversee the day to day operation of the service. This was confirmed at management interviews. They would be supported by the CM, the GSM and the Oceania operations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human resource management policies and procedures are documented and implemented and meet the requirements of legislation. The skills and knowledge required for each position is documented in job descriptions. Management and staff files reviewed demonstrated that recruitment processes for all staff include: reference checks; a signed employment agreement; specific job description; police vetting; drug testing and identification verification. Recruitment has commenced for staff as confirmed at management interviews. Not all staff required to deliver services at the new facility have been employed. A staff appraisal system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systems in place to ensure that annual practising certificates and practitioners’ certificates are current. However, annual practising certificates could not be verified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processes are documented and cover the essential components of the service. However, orientation processes for all staff could not be verified as recruitment is not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has completed interRAI assessment training and competencies. The Oceania mandatory annual education, training schedule and education days provide ongoing education for staff to ensure safe and effective services to residents, however, implementation was unable to be verified.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staffing and skill mix policy provides guidance to ensure safe staffing levels within the facility meet the needs of residents’ acuity and the requirements of the DHB contract. </w:t>
            </w:r>
          </w:p>
          <w:p w:rsidR="00EB7645" w:rsidRPr="00BE00C7" w:rsidP="00BE00C7">
            <w:pPr>
              <w:pStyle w:val="OutcomeDescription"/>
              <w:spacing w:before="120" w:after="120"/>
              <w:rPr>
                <w:rFonts w:cs="Arial"/>
                <w:b w:val="0"/>
                <w:lang w:eastAsia="en-NZ"/>
              </w:rPr>
            </w:pPr>
            <w:r w:rsidRPr="00BE00C7">
              <w:rPr>
                <w:rFonts w:cs="Arial"/>
                <w:b w:val="0"/>
                <w:lang w:eastAsia="en-NZ"/>
              </w:rPr>
              <w:t>The allocation of the staff plan identifies staff roster for the needs of the resident group and numbers and ensure safe staffing, that meets the minimum requirements of the national aged related residential care contract. The proposed plan sighted for the facility recorded roster scenarios had been drafted to incrementally increase facility staffing as resident numbers increase. The facility and the Oceania manager interviews and records reviewed evidenced the VCM, the CM and the GSM work Monday to Friday each week. The CM will be on call after hours for clinical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a review of proposed rosters confirmed that staffing will cover residents’ care. However, not all staff were employed at the time of audit and the availability of an appropriate skill mix of the residents yet to be admitted into the facility was unable to be verified.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policies and processes guide medication management and are in line with required legislation and guidelines. The Sands is currently in the process of advertising and completing interviews to ensure safe staffing (refer to 1.2.7.2, 1.2.7.3, 1.2.7.4 and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has completed their medication competency. The education and training programme and ‘grow, educate and motivate’ (GEM) study days provide opportunities for keeping competencies current (refer to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areas, including storage areas evidenced an appropriate and secure medicine dispensing system, free from heat, moisture and light. The medicines fridge has been calibrated and temperatures checks are completed. Medicines management equipment and the electronic medicines management system are in place ready for use. </w:t>
            </w:r>
          </w:p>
          <w:p w:rsidR="00EB7645" w:rsidRPr="00BE00C7" w:rsidP="00BE00C7">
            <w:pPr>
              <w:pStyle w:val="OutcomeDescription"/>
              <w:spacing w:before="120" w:after="120"/>
              <w:rPr>
                <w:rFonts w:cs="Arial"/>
                <w:b w:val="0"/>
                <w:lang w:eastAsia="en-NZ"/>
              </w:rPr>
            </w:pPr>
            <w:r w:rsidRPr="00BE00C7">
              <w:rPr>
                <w:rFonts w:cs="Arial"/>
                <w:b w:val="0"/>
                <w:lang w:eastAsia="en-NZ"/>
              </w:rPr>
              <w:t>Oceania has an agreement with a local practice to provide medical services to the facility. There is also an agreement with a local pharmacy to provide the facility with pharmaceutical services, including stocktakes. Processes are in place for self-administration of medicines including assessment of resident competencies, safe and appropriate storage of medicines and checks by nursing staff.</w:t>
            </w:r>
          </w:p>
          <w:p w:rsidR="00EB7645" w:rsidRPr="00BE00C7" w:rsidP="00BE00C7">
            <w:pPr>
              <w:pStyle w:val="OutcomeDescription"/>
              <w:spacing w:before="120" w:after="120"/>
              <w:rPr>
                <w:rFonts w:cs="Arial"/>
                <w:b w:val="0"/>
                <w:lang w:eastAsia="en-NZ"/>
              </w:rPr>
            </w:pPr>
            <w:r w:rsidRPr="00BE00C7">
              <w:rPr>
                <w:rFonts w:cs="Arial"/>
                <w:b w:val="0"/>
                <w:lang w:eastAsia="en-NZ"/>
              </w:rPr>
              <w:t>The CQM confirmed that Oceania does not use standard medicines orders. The current medication system is satisfactory to meet the needs of residents receiving hospital and rest home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food policy on food procurement, production, preparation, storage, transportation, delivery and disposal complies with current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Food services have commenced for residents who are living in the independent living suites on the ground, third, fourth and fifth floors. Food services will be provided for the care centre on the second floor from the same kitchen. There is a four weekly seasonal menu in place. The organisation implemented a custom food control plan used by all the Oceania facilities, which is registered with the Ministry of Primary Industries.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employed kitchen staff have completed food safety and competencies. Training for current kitchen staff is in the process as they are completing their orientation and induction books (refer to 1.2.7.4 and 1.2.7.5). </w:t>
            </w:r>
          </w:p>
          <w:p w:rsidR="00EB7645" w:rsidRPr="00BE00C7" w:rsidP="00BE00C7">
            <w:pPr>
              <w:pStyle w:val="OutcomeDescription"/>
              <w:spacing w:before="120" w:after="120"/>
              <w:rPr>
                <w:rFonts w:cs="Arial"/>
                <w:b w:val="0"/>
                <w:lang w:eastAsia="en-NZ"/>
              </w:rPr>
            </w:pPr>
            <w:r w:rsidRPr="00BE00C7">
              <w:rPr>
                <w:rFonts w:cs="Arial"/>
                <w:b w:val="0"/>
                <w:lang w:eastAsia="en-NZ"/>
              </w:rPr>
              <w:t>The kitchen is spacious, modern and appropriate for service delivery with a café which is operational. Chiller, fridge and freezer, as well as food temperatures are monitored. There is a numeric system for monitoring expiry dates of all food stock.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nutritional assessment forms reviewed are currently used in other Oceania facilities. There is a system in place to ensure the kitchen staff are aware of all nutritional requirements, likes and dislikes of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schedules are in place. Chemicals used in the kitchen are stored securely. The service has appropriate internal audit process in place to review food services, including a process for testing residents’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procedures and guidelines for the management of waste and hazardous substances, compliant with current legislation and territorial authority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waste and hazardous substances in the new building is implemented. Processes for collection, storage and disposal of waste and recyclables are in accord with infection control principles and comply with local body requirements. A hazardous substances register is maintained and was sighted. Material safety data sheets are provided by the external contractor and were sighted during the on-site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will receive training on the use of personal protective equipment (PPE) and the management of waste and hazardous substances (refer to 1.2.7.4 and 1.2.7.5). Personal protective equipment is available and was sighted in the new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sluice rooms that are stocked with appropriate equipment, PPEs and built to infection control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building comprises of four levels on the south side and five levels on the north side. The ground floor and levels three, four and five are independent living apartments. Level two of the new building comprises of 44 dual purpose care suites. There are 32 studio care suites and 12 one bedroom/separate living care suites at the facility. Each care suite has its own ensuite with shower and toilet. Fifteen of the care suites have balconies. </w:t>
            </w:r>
          </w:p>
          <w:p w:rsidR="00EB7645" w:rsidRPr="00BE00C7" w:rsidP="00BE00C7">
            <w:pPr>
              <w:pStyle w:val="OutcomeDescription"/>
              <w:spacing w:before="120" w:after="120"/>
              <w:rPr>
                <w:rFonts w:cs="Arial"/>
                <w:b w:val="0"/>
                <w:lang w:eastAsia="en-NZ"/>
              </w:rPr>
            </w:pPr>
            <w:r w:rsidRPr="00BE00C7">
              <w:rPr>
                <w:rFonts w:cs="Arial"/>
                <w:b w:val="0"/>
                <w:lang w:eastAsia="en-NZ"/>
              </w:rPr>
              <w:t>Observation/tour of the new building evidenced a building and internal fit out that is fit for purpose and ready for occupation. A certificate for public use was issued by the Auckland City Council on 21 May 2019. This certificate for public use expires on 15 August 2019 or upon issue of the code compliance certificate, whichever happens earlier. Application for the code compliance certificate has been submitted to the territorial authority. The building warrant of fitness will be issued 12 months following the issue of the code compliance certificate, as confirmed by the Oceania management team interviews.</w:t>
            </w:r>
          </w:p>
          <w:p w:rsidR="00EB7645" w:rsidRPr="00BE00C7" w:rsidP="00BE00C7">
            <w:pPr>
              <w:pStyle w:val="OutcomeDescription"/>
              <w:spacing w:before="120" w:after="120"/>
              <w:rPr>
                <w:rFonts w:cs="Arial"/>
                <w:b w:val="0"/>
                <w:lang w:eastAsia="en-NZ"/>
              </w:rPr>
            </w:pPr>
            <w:r w:rsidRPr="00BE00C7">
              <w:rPr>
                <w:rFonts w:cs="Arial"/>
                <w:b w:val="0"/>
                <w:lang w:eastAsia="en-NZ"/>
              </w:rPr>
              <w:t>Management interviews and observations confirmed there is equipment available to support residents including but not limited to: wheelchairs; shower chairs; ceiling hoists. Equipment sighted confirmed that this includes new purchased equipment, such as: beds; dining room tables and chairs; and lounge chairs.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lifts in the building, two are large enough for bed/gurney access and the third lift is used for delivery access. Access to stairs is by swipe card only. The building has a courtyard with gardens, grassed area and paths.  External seating and shade is available. Paths allow for safe access for residents, staff and visitors. The driveway has space for vehicle access to the main entrance. There are 19 visitors’ car parks, 2 of which are disability parks, located in the basement with secure access. </w:t>
            </w:r>
          </w:p>
          <w:p w:rsidR="00EB7645" w:rsidRPr="00BE00C7" w:rsidP="00BE00C7">
            <w:pPr>
              <w:pStyle w:val="OutcomeDescription"/>
              <w:spacing w:before="120" w:after="120"/>
              <w:rPr>
                <w:rFonts w:cs="Arial"/>
                <w:b w:val="0"/>
                <w:lang w:eastAsia="en-NZ"/>
              </w:rPr>
            </w:pPr>
            <w:r w:rsidRPr="00BE00C7">
              <w:rPr>
                <w:rFonts w:cs="Arial"/>
                <w:b w:val="0"/>
                <w:lang w:eastAsia="en-NZ"/>
              </w:rPr>
              <w:t>A planned maintenance schedule is documented and has commenced on the new building. There was documented evidence hot water temperatures have been checked in all care suites in the new building. Hot water temperatures monitoring schedule is to be conducted monthly. An interview with the maintenance person confirmed that where hot water temperatures had been above the recommended safe temperature, action was taken, and rechecking of the temperature occurred to ensure a safe temperature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reactive maintenance schedule comprises of staff and residents (once admitted) identifying maintenance issues in a maintenance log book. A review of maintenance requests and staff interviews confirmed the processes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confirmed there is adequate equipment to support care, including care for residents with disabilities. There is a system to ensure that the facility van is routinely maintained and has current warrant of fitness and registration.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suites have ensuites with toilets, hand basins and showers.  There are additional toilets located in proximity of the residents’ lounges and dining rooms. All ensuites have handrails and call bells to summon assistance. All doorways are wide to facilitate ease of mobility and residents’ independence. Staff and visitors’ toilets are provided.</w:t>
            </w:r>
          </w:p>
          <w:p w:rsidR="00EB7645" w:rsidRPr="00BE00C7" w:rsidP="00BE00C7">
            <w:pPr>
              <w:pStyle w:val="OutcomeDescription"/>
              <w:spacing w:before="120" w:after="120"/>
              <w:rPr>
                <w:rFonts w:cs="Arial"/>
                <w:b w:val="0"/>
                <w:lang w:eastAsia="en-NZ"/>
              </w:rPr>
            </w:pPr>
            <w:r w:rsidRPr="00BE00C7">
              <w:rPr>
                <w:rFonts w:cs="Arial"/>
                <w:b w:val="0"/>
                <w:lang w:eastAsia="en-NZ"/>
              </w:rPr>
              <w:t>Communal toilets have a system to indicate vacancy and have disability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44 residents’ care suites, comprising of studio and one bedroom suites. Each care suites size has been designed to allow residents to mobilise safely around their personal space and bed area, with mobility aids and assistance.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will be able to personalise their rooms with their own furniture and furnishings, as confirmed at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wheelchairs and walking 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dining room with the capacity to accommodate all residents when all 44 care suites are occupied. A private dining room is located next to the main dining room and may be used for private functions. The ground floor has a café for residents and visitors to use. The dining rooms are fully equipped with dining tables and chairs of appropriate design for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There is a recreational room next to the main lounge.</w:t>
            </w:r>
          </w:p>
          <w:p w:rsidR="00EB7645" w:rsidRPr="00BE00C7" w:rsidP="00BE00C7">
            <w:pPr>
              <w:pStyle w:val="OutcomeDescription"/>
              <w:spacing w:before="120" w:after="120"/>
              <w:rPr>
                <w:rFonts w:cs="Arial"/>
                <w:b w:val="0"/>
                <w:lang w:eastAsia="en-NZ"/>
              </w:rPr>
            </w:pPr>
            <w:r w:rsidRPr="00BE00C7">
              <w:rPr>
                <w:rFonts w:cs="Arial"/>
                <w:b w:val="0"/>
                <w:lang w:eastAsia="en-NZ"/>
              </w:rPr>
              <w:t>Communal areas have appropriate seating and external views. All areas can be accessed by residents, visitors and staff. Sufficient areas are available for residents to access with their visitors if they wish to find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service at the facility is contracted out to an external laundry company to provide all laundry services, six days per week, Monday to Saturday inclusive, and will include the laundering of all residents’ clothing. The service agreement was sighted. Clean linen storage areas/cupboards are provided, as are personal clothing trolleys for return of resident’s clothes. The new building has a room on the ground floor with a laundry shoot from the upper levels of the building. The dirty laundry is collected from this area. Clean laundry will be delivered via a separate entrance. Colour coded, covered laundry trolleys and bags were observed to ensure their ready for use. The GSM is responsible for laundry services. Healthcare assistants will be responsible for stocking up of linen cupboards and delivering residents’ personal clothing, confirmed at management interviews.</w:t>
            </w:r>
          </w:p>
          <w:p w:rsidR="00EB7645" w:rsidRPr="00BE00C7" w:rsidP="00BE00C7">
            <w:pPr>
              <w:pStyle w:val="OutcomeDescription"/>
              <w:spacing w:before="120" w:after="120"/>
              <w:rPr>
                <w:rFonts w:cs="Arial"/>
                <w:b w:val="0"/>
                <w:lang w:eastAsia="en-NZ"/>
              </w:rPr>
            </w:pPr>
            <w:r w:rsidRPr="00BE00C7">
              <w:rPr>
                <w:rFonts w:cs="Arial"/>
                <w:b w:val="0"/>
                <w:lang w:eastAsia="en-NZ"/>
              </w:rPr>
              <w:t>Cleaning services will be conducted by employed staff, seven days a week (refer to 1.2.7.3). Cleaning products will be dispensed from an in-line system and the installed dispensing system was sighted. There are safe storage areas for cleaning equipment and chemicals in the new facility. An external contractor has provided training relating to chemicals used at the facility to the current employed staff. Staff training for all new staff will be conducted (refer to 1.2.7.4 and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are available for the disposal of soiled water/waste. Handwashing facilities are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Management interviews confirmed the monitoring processes of the laundry and cleaning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an emergency and business continuity plan that includes guidance and resource for staff in the event of an emergency or disaster. It includes a variety of possible emergency events such as: fire; earthquake; flooding; hazardous substance spills; evacuation; robbery; challenging behaviour and a missing person. The plan identifies the contingency plans for all potential service failures and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A letter from Fire and Emergency New Zealand approving the evacuation scheme dated 4 June 2019 was sighted. A sprinkler system is installed throughout the facility and exit signage is displayed. Trial evacuations in accordance with the approved evacuation scheme are scheduled prior to the residents moving to the facility. Records reviewed evidenced all staff and management employed at the facility have completed emergency evacuation checklist, site tour and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annual training includes emergency and disaster procedures and fire safety (refer to 1.2.7.4 and 1.2.7.5). </w:t>
            </w:r>
          </w:p>
          <w:p w:rsidR="00EB7645" w:rsidRPr="00BE00C7" w:rsidP="00BE00C7">
            <w:pPr>
              <w:pStyle w:val="OutcomeDescription"/>
              <w:spacing w:before="120" w:after="120"/>
              <w:rPr>
                <w:rFonts w:cs="Arial"/>
                <w:b w:val="0"/>
                <w:lang w:eastAsia="en-NZ"/>
              </w:rPr>
            </w:pPr>
            <w:r w:rsidRPr="00BE00C7">
              <w:rPr>
                <w:rFonts w:cs="Arial"/>
                <w:b w:val="0"/>
                <w:lang w:eastAsia="en-NZ"/>
              </w:rPr>
              <w:t>Supplies are available to sustain staff and residents in an emergency situation. Alternative energy and utility sources in the event of the main supplies failing are in place. The capacity of the water tank for emergency supply of water is 2000 litres. The facility has access to a generator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Call bells to summon assistance are operational in all care suites and residents’ areas. Call bells have been checked for activation and visual display by the maintenance person.</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and processes are in place and operational.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suites and communal areas accessed by residents have safe ventilation and external windows providing natural light. Heating and cooling of communal and residents’ care suites is provided by air conditioning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to manage the risk of infection to residents, staff and visitors to this facility. The infection prevention and control programme is specific to the service and is in place. Infection control management is guided by the infection control manual developed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is the CM. The ICN completed relevant training for this role and responsibilities are clearly outlined in a position description which is signed and dated. The ICN role is supported by the infection prevention and control committee, however, employment processes are not completed for all members of the committee (refer to 1.2.7.3). The ICN reports to the Oceania executive management team and infection control reports are electronically sent to the support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Resources are in place to support the programme and any outbreak of infection, including an outbreak kit. </w:t>
            </w:r>
          </w:p>
          <w:p w:rsidR="00EB7645" w:rsidRPr="00BE00C7" w:rsidP="00BE00C7">
            <w:pPr>
              <w:pStyle w:val="OutcomeDescription"/>
              <w:spacing w:before="120" w:after="120"/>
              <w:rPr>
                <w:rFonts w:cs="Arial"/>
                <w:b w:val="0"/>
                <w:lang w:eastAsia="en-NZ"/>
              </w:rPr>
            </w:pPr>
            <w:r w:rsidRPr="00BE00C7">
              <w:rPr>
                <w:rFonts w:cs="Arial"/>
                <w:b w:val="0"/>
                <w:lang w:eastAsia="en-NZ"/>
              </w:rPr>
              <w:t>Equipment needed to ensure a safe and appropriate environment such as liquid soap, anti-bacterial gels, paper towels and appropriate signage, is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hand washing facilities located and positioned in all areas of service delivery. Cleaning schedules are in place. All flooring, equipment, furniture sighted is made from materials suitable for cleaning to maintain infection control principles.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9"/>
        <w:gridCol w:w="1280"/>
        <w:gridCol w:w="6594"/>
        <w:gridCol w:w="1620"/>
        <w:gridCol w:w="21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VCM and CM files evidenced current annual practising certificates. Employment processes for new staff have not been fully completed and not all annual practising certificates required were able to be evidenced.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practising certificates of staff that will be employed were not able to be sighted.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professional qualifications are validated for staff who require these to practise.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management confirmed three managers have been employed and they include: the VCM; the CM and the GSM. The staff that have commenced employment include: the executive chef; the chef; maintenance person and the administrator.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Oceania national and regional managers confirmed advertising, interviewing and for some positions the offers of staff positions have been completed. Appointment of appropriate staff to provide safe services was unable to be verified as not all staff were employed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have been employed to implement services at the new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required staff have been employed and the required staff skill mix requirements to provide hospital and rest home levels of care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It requires new staff to demonstrate competency on a number of tasks, including residents’ personal cares. Staff employed at the time of audit and management interviews confirmed their orientation/induction process had occurred or is in progress. Recruitment processes were not complete at the time of audit and orientation for all staff could not be verified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implementation of the orientation programme could not be verified as not all staff have been appointed.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new staff complete the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education records evidenced that staff education has been provided for the new staff employed, such as the executive chef; the chef; maintenance person, the administrator and the management team. There are Oceania specific mandatory annual education, training modules and education days to be planned when all required staff are employed. However, implementation of the annual education, training modules and education days was unable to be evidenced.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education, training modules and education days have not yet been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annual education, training modules and education days are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documented process/plan of residents’ admissions to the facility evidenced preparation and planning prior to residents’ admissions and this includes the number of staff, skill mix and staffing requirements for morning, afternoon and night shifts including management and support staff. Verification of the appropriate skill set on the roster could not be evidenced as not all staff were employed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staff had been employed at the time of audit and proposed roster skill set mix suitability could not be validated.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employed are rostered to meet skill mix requirements suitable to safely meet the needs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Sands</w:t>
    </w:r>
    <w:bookmarkEnd w:id="58"/>
    <w:r>
      <w:rPr>
        <w:rFonts w:cs="Arial"/>
        <w:sz w:val="16"/>
        <w:szCs w:val="20"/>
      </w:rPr>
      <w:tab/>
      <w:t xml:space="preserve">Date of Audit: </w:t>
    </w:r>
    <w:bookmarkStart w:id="59" w:name="AuditStartDate1"/>
    <w:r>
      <w:rPr>
        <w:rFonts w:cs="Arial"/>
        <w:sz w:val="16"/>
        <w:szCs w:val="20"/>
      </w:rPr>
      <w:t>20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