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Wyndham and Districts Community Rest Home Incorporated - Wyndham and District Community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Wyndham and Districts Community Rest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Wyndham and Districts Community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July 2019</w:t>
      </w:r>
      <w:bookmarkEnd w:id="7"/>
      <w:r w:rsidRPr="009418D4">
        <w:rPr>
          <w:rFonts w:cs="Arial"/>
        </w:rPr>
        <w:tab/>
        <w:t xml:space="preserve">End date: </w:t>
      </w:r>
      <w:bookmarkStart w:id="8" w:name="AuditEndDate"/>
      <w:r w:rsidR="00A4268A">
        <w:rPr>
          <w:rFonts w:cs="Arial"/>
        </w:rPr>
        <w:t>11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This unannounced (spot) surveillance audit was conducted against the Health and Disability Standards and the organisations contract with the district health board to supply aged related residential services The Wyndham District and Community Rest Home provides rest home services for up to 23 residents. The service is operated by a board of trustees and managed by a nurse manager. Residents and families spoke positively about the care provided.</w:t>
      </w:r>
    </w:p>
    <w:p w:rsidRPr="00A4268A">
      <w:pPr>
        <w:spacing w:before="240" w:line="276" w:lineRule="auto"/>
        <w:rPr>
          <w:rFonts w:eastAsia="Calibri"/>
        </w:rPr>
      </w:pPr>
      <w:r w:rsidRPr="00A4268A">
        <w:rPr>
          <w:rFonts w:eastAsia="Calibri"/>
        </w:rPr>
        <w:t>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Changes since the last audit include the appointment of two new trustees after the resignation of the two previous board trustees.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managed in line with the requirements of the Code of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trust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completes initial assessments, risk assessments, interRAI assessments and long-term care plans within the required timeframes. Care plans are evaluated at least six monthly and meet the resident’s current needs and supports.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nurses and medication competent caregivers are responsible for administration of medicines and complete annual education and medication competencies. The electronic medicine charts reviewed met prescribing requirements and were reviewed at least three monthly. </w:t>
      </w:r>
    </w:p>
    <w:p w:rsidRPr="00A4268A" w:rsidP="00621629">
      <w:pPr>
        <w:spacing w:before="240" w:line="276" w:lineRule="auto"/>
        <w:rPr>
          <w:rFonts w:eastAsia="Calibri"/>
        </w:rPr>
      </w:pPr>
      <w:r w:rsidRPr="00A4268A">
        <w:rPr>
          <w:rFonts w:eastAsia="Calibri"/>
        </w:rPr>
        <w:t xml:space="preserve">An activities coordinator plans activity that are appropriate to the resident’s assessed needs. The programme includes community visitors and outings, entertainment and activities that meet the individual and group preferences and abilities for the resident group. Residents and families report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The meals are prepared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Wyndham and Districts Community Rest Home actively minimises the use of restraint. All staff receive training on restraint minimisation and management of behaviours that challenge. There are no residents using enablers and no residents using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0"/>
        <w:gridCol w:w="1280"/>
        <w:gridCol w:w="100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one verbal complaint has been received over the past year and that actions taken, through to an agreed resolution, are documented and completed within the timeframes. Action plans show any required follow up and improvements have been made where possible. The nurse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longer-term objectives and the associated operational plans. A sample of monthly reports to the trustees includes financial performance,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who holds relevant qualifications and has been in the role since March 2015. Responsibilities and accountabilities are defined in a job description and individual employment agreement. The nurse manager confirms knowledge of the sector, regulatory and reporting requirements and maintains currency through attendance at national conferences and regular meetings with local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ACC and carer support services. There were 21 residents receiving services under the contract (18 rest home, one ACC and two carer support)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and staff satisfaction survey, monitoring of outcomes, clinical incidents including infections and an internal programme of continuous improvement. The continuous improvement programme was presented at the New Zealand Aged Care Association conference. Resulting in the facility winning both the 2018 New Zealand Aged Care Association small operator industry award and the EBOS overall excellence in aged care award.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staff and trustee meetings. Staff reported their involvement in quality and risk management activities through audit activities and speaking up at staff meetings. Relevant corrective actions are developed and implemented to address any shortfalls. Resident and family satisfaction surveys are completed annually. The most recent survey showed all residents and family are happy with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NM described the processes for the identification, monitoring, review and reporting of risks and development of mitigation strategies. The nurse manager is familiar with the Health and Safety at Work Act (2015) and acts as the H&amp;S officer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at both staff and trustee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described essential notification reporting requirements, including for pressure injuries. They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Documentation in the files sampled confirmed the completion of annual competencies such as medication management, syringe driver pump and first aid certificates where required. Staff reported that the orientation process prepared them well for their role. Staff records reviewed show documentation of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completed a New Zealand Qualification Authority education programme to meet the requirements of the provider’s agreement with the DHB.</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trained and competent registered nurses who are maintaining their annual competency requirements to undertake interRAI assessments. Records reviewed demonstrated completion of the required training and completion of annual performance appraisals by the nurse manager. The nurse manager performance appraisal is completed by the trustees and one RN for nursing council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the roster confirmed adequate staff cover has been provided, with staff replaced in any unplanned absence. At least one staff member on duty has a current first aid certificate and there is 24 hour/seven days a week (24//7).</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kitchen staff seven days a week, a diversional therapist five days a week, dedicated cleaning hours and RN coverage are identified on the roster.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current guidelines and legislative requirements. Staff who administer medications (RNs, enrolled nurse and medication competent caregivers) have been assessed for competency on an annual basis. Registered nurses have completed syringe driver training. Education around safe medication administration has been provided annually. Medication reconciliation occurs on delivery of medications. All medications are stored safely in the medication room. The expiry dates of medications were checked regularly. The medication fridge temperature is checked daily and within acceptable limits. There were no residents who self-administer their medicines on the day of audit. Policies and procedures are in place should a resident meet the criteria to self-administer medications.</w:t>
            </w:r>
          </w:p>
          <w:p w:rsidR="00EB7645" w:rsidRPr="00BE00C7" w:rsidP="00BE00C7">
            <w:pPr>
              <w:pStyle w:val="OutcomeDescription"/>
              <w:spacing w:before="120" w:after="120"/>
              <w:rPr>
                <w:rFonts w:cs="Arial"/>
                <w:b w:val="0"/>
                <w:lang w:eastAsia="en-NZ"/>
              </w:rPr>
            </w:pPr>
            <w:r w:rsidRPr="00BE00C7">
              <w:rPr>
                <w:rFonts w:cs="Arial"/>
                <w:b w:val="0"/>
                <w:lang w:eastAsia="en-NZ"/>
              </w:rPr>
              <w:t>Medication chart prescribing meets legislative requirements. Medication charts reviewed (ten on the electronic medication system) had photo identification and allergy status documented. The administration sheets corresponded with the medication charts. All medications charts reviewed evidenced three-monthly GP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system for medication administration. The staff administering medications complied with the medication administration policies. Procedures were evidenced in the observed medication round. Electronic reports were viewed for 10 residents. All eye drops were dated on opening.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managed by a principal cook. She is supported by two cooks, four kitchenhands and at times other staff may be called on to provide support. Food services staff are progressively attending food safety training. The food control plan has been verified and expires 27 March 2020. All meals and baking are prepared and cooked on-site in a kitchen located within the facility. A dietitian reviews the four to five weekly rotating seasonal menu.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principal cook receives a resident dietary profile and is notified of any dietary changes. Resident dislikes are accommodated. Texture modified meals are provided. Meals are served within the kitchen and taken to residents in the dining room and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chiller and cooked temperatures are taken and recorded daily. Perishable foods sighted in the kitchen and facility kitchenette fridges were dated. The dishwasher is checked regularly by the chemical supplier. Chemicals are stored safely. A cleaning schedule and task list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and direct input from residents provide resident feedback on the meals and food services generally. Residents and family members interviewed were happy with the food and confirmed alternative food choices were offered for dislikes.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reviews a client’s care needs when there is a change in the resident’s condition. The registered nurse arranges a GP or nurse specialist visit if required. There is evidence of three-monthly medical reviews, or the GP will visit earlier if there is a change in health status. Residents and relatives interviewed confirm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wound being treated on the day of the audit. Wound assessments had been completed. There was evidence the GP and wound specialist nurse were involved.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are developed with multi-disciplinary input. The GP initiates specialist referrals to the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Caregivers interviewed confirmed they are updated of any changes in resident’s care or treatment during handover sessions. The active short-term care plans and long-term care plans are in the resident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activity coordinator to implement the Monday to Friday activity programme. There are up to ten volunteers who assist with housie, crafts, bowls and gardening. The activity programme includes housie, exercise, piano sing along, boccia bowls and interdenominational church services. There is a men’s shed area and tunnel houses where vegetables are grown. There is a weekly van outing, and at times these outings are men’s or women’s only or combined van trips. The resident’s expertise is utilised at times on these van trips as they share their local knowledge. Trips include visits to beaches, and other rest homes. Weekly activities are displayed on a poster.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School students regularly come to assist with activities. Pre-schoolers regularly come in for activities with the residents. A mid-winter Christmas lunch was recently held. Entertainers from the community provide entertainment throughout the month. </w:t>
            </w:r>
          </w:p>
          <w:p w:rsidR="00EB7645" w:rsidRPr="00BE00C7" w:rsidP="00BE00C7">
            <w:pPr>
              <w:pStyle w:val="OutcomeDescription"/>
              <w:spacing w:before="120" w:after="120"/>
              <w:rPr>
                <w:rFonts w:cs="Arial"/>
                <w:b w:val="0"/>
                <w:lang w:eastAsia="en-NZ"/>
              </w:rPr>
            </w:pPr>
            <w:r w:rsidRPr="00BE00C7">
              <w:rPr>
                <w:rFonts w:cs="Arial"/>
                <w:b w:val="0"/>
                <w:lang w:eastAsia="en-NZ"/>
              </w:rPr>
              <w:t>A resident activity assessment is completed on admission and six monthly thereafter. Activities attendance is recorded in the residents file. The activities plan is integrated into the long-term care plan. The activity coordinator is involved in the six-monthly review. There was evidence in the file of a resident under 65 years of age that activities assessment had occurred, a plan developed, and occupational therapy input was also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surveys and resident meetings. Residents interviewed stated they were happy with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were evaluated by the registered nurse within three weeks of admission. Care plans included input from the RN, care staff, GP, physiotherapist and any other allied health professionals involved in the resident’s care. Family are invited to be involved in care plan review and informed of any changes if unable to attend as appropriate. The GP reviews the residents at least three-monthly or earlier if required. Long-term care plans are evaluated six monthly. Ongoing nursing evaluations occur as indicated and are documented within the progress notes. Short-term care plans are used to document needs and supports for short-term care plans and are evaluated as required. Carer support residents and ACC residents have a short stay nursing assessment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(18th July 2019) is publicly displayed. The facility had completed the new warrant of fitness and was awaiting the new certificate.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know the processes they should follow if any repairs or maintenance is required, a maintenance request register is maintained (sighted). Residents spoken to confirm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in the office and known to staff. Disaster and civil defence planning guides direct the facility in their preparation for disasters and describe the procedures to be followed in the event of a fire or other emergency. A trial evacuation takes place six-monthly with a copy sent to the New Zealand Fire Service, the most recent being February 2019. The orientation programme includes fire and security training.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number of residents. Water storage tanks are located around the complex, and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infection prevention and control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at staff and trustee meetings.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close liaison with the GP that advises and provides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recorded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appropriate policies and procedures for the minimisation and use of restraints and enablers. The policy defines enabler use as voluntary. There is no reported restraint or enabler use. Staff interviewed demonstrated knowledge that an enabler is used at the voluntary request of the resident to maintain their independence or safety. Education on the management of behaviours of concern is provided as part of the in-service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Wyndham and Districts Community Rest Home Incorporated - Wyndham and District Community Rest Home</w:t>
    </w:r>
    <w:bookmarkEnd w:id="58"/>
    <w:r>
      <w:rPr>
        <w:rFonts w:cs="Arial"/>
        <w:sz w:val="16"/>
        <w:szCs w:val="20"/>
      </w:rPr>
      <w:tab/>
      <w:t xml:space="preserve">Date of Audit: </w:t>
    </w:r>
    <w:bookmarkStart w:id="59" w:name="AuditStartDate1"/>
    <w:r>
      <w:rPr>
        <w:rFonts w:cs="Arial"/>
        <w:sz w:val="16"/>
        <w:szCs w:val="20"/>
      </w:rPr>
      <w:t>11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