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Levin Home for War Veterans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Levin Home for War Veterans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June 2019</w:t>
      </w:r>
      <w:bookmarkEnd w:id="7"/>
      <w:r w:rsidRPr="009418D4">
        <w:rPr>
          <w:rFonts w:cs="Arial"/>
        </w:rPr>
        <w:tab/>
        <w:t xml:space="preserve">End date: </w:t>
      </w:r>
      <w:bookmarkStart w:id="8" w:name="AuditEndDate"/>
      <w:r w:rsidR="00A4268A">
        <w:rPr>
          <w:rFonts w:cs="Arial"/>
        </w:rPr>
        <w:t>18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large room was assessed as suitable for a double room for rest home level of care residents.  This room is currently being used by a married couple.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Levin home for War Veterans is part of the Presbyterian Support Central organisation (PSC).  The service provides rest home, hospital and dementia level of care for up to 81 residents.  On the day of audit there were 70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the general practitioner.</w:t>
      </w:r>
    </w:p>
    <w:p w:rsidRPr="00A4268A">
      <w:pPr>
        <w:spacing w:before="240" w:line="276" w:lineRule="auto"/>
        <w:rPr>
          <w:rFonts w:eastAsia="Calibri"/>
        </w:rPr>
      </w:pPr>
      <w:r w:rsidRPr="00A4268A">
        <w:rPr>
          <w:rFonts w:eastAsia="Calibri"/>
        </w:rPr>
        <w:t>The facility manager/registered nurse has been in the role for six weeks and transferred from another PSC facility.  The facility manager has many years’ experience in primary health organisations and aged care.  The facility manager is supported by an experienced clinical nurse manager who has been in the position for three years.  The facility manager is supported by a clinical director, general manager and interim chief executive officer at head office.  The clinical nurse manager is supported by two clinical coordinators, a team of registered nurses and stable workforce.  Residents and family interviewed spoke positively about the service provided.</w:t>
      </w:r>
    </w:p>
    <w:p w:rsidRPr="00A4268A">
      <w:pPr>
        <w:spacing w:before="240" w:line="276" w:lineRule="auto"/>
        <w:rPr>
          <w:rFonts w:eastAsia="Calibri"/>
        </w:rPr>
      </w:pPr>
      <w:r w:rsidRPr="00A4268A">
        <w:rPr>
          <w:rFonts w:eastAsia="Calibri"/>
        </w:rPr>
        <w:t>The service has been awarded a continued improvement rating around a good practice initiative.</w:t>
      </w:r>
    </w:p>
    <w:p w:rsidRPr="00A4268A">
      <w:pPr>
        <w:spacing w:before="240" w:line="276" w:lineRule="auto"/>
        <w:rPr>
          <w:rFonts w:eastAsia="Calibri"/>
        </w:rPr>
      </w:pPr>
      <w:r w:rsidRPr="00A4268A">
        <w:rPr>
          <w:rFonts w:eastAsia="Calibri"/>
        </w:rPr>
        <w:t xml:space="preserve">This audit identified improvements around hazard management, activity plan for dementia care residents and aspects of the food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individual, values residents' autonomy and maintains their privacy and choice.  Residents receive services in a manner that considers their dignity, privacy and independence.  Policies are implemented to support residents’ rights, communication and complaints management.  The service promotes and encourages good practice.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Levin War Veterans home continues to implement the PSC quality and risk management system that supports the provision of clinical care.  Key components of the quality management system link to meetings including monthly senior team meetings.  An annual resident and relative satisfaction survey are completed and there are regular resident and relative meetings.  Quality performance is reported to staff at meetings and includes a summary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mandatory requirements and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manager takes primary responsibility for managing entry to the service with assistance from the clinical nurse manager.  Comprehensive service information is available.  Initial assessments are completed by a registered nurse, including interRAI assessments.  The registered nurses complete care plans.  Residents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on-site under the direction of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Ongoing maintenance issues are addressed.  Chemicals are stored safely throughout the facility.  All bedrooms are single occupancy, and some have ensuites.  Those that do not have ensuites, share bathroom facilities.  There is sufficient space to allow the movement of residents around the facility using mobility aids.  There are several lounge and dining areas throughout the facility.  The internal areas are ventilated and heated.  The outdoor areas are safe and easily accessible.  Cleaning and maintenance staff are providing appropriate services.  Staff have planned and implemented strategies for emergency management.  Emergency systems are in place in the event of a fire or external disaster.  There is always a first aider on duty.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The clinical nurse manager is the restraint and enabler coordinator.  On the day of audit there were no residents with restraints or enablers.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(hospital clinical coordinator) is responsible for coordinating education and training for staff.  The infection control nurse attends PSC peer support meetings for infection control nurses.  There is a suite of infection control policies and guidelines to support practice.  The infection control nurse uses the information obtained through surveillance to determine infection control activities and education needs within the facility.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4"/>
        <w:gridCol w:w="1280"/>
        <w:gridCol w:w="97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Interviews with 10 care staff; including two clinical coordinators, one registered nurse (RN), one enrolled nurse, five HCAs and one diversional therapist reflected their understanding of the key principles of the Code.  Staff receive training about the Code in the mandatory in-service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Policies and procedures for informed consent and resuscitation are in place.  General consents and specific consents where applicable were obtained on admission and updated as required.  These were sighted in the nine residents’ files reviewed (three rest home, including one respite resident and one funded through the Long-Term Support - Chronic Health Conditions (LTS-CHC) contract, three hospital, and three dementia level of care resident files).  Resuscitation plans were appropriately signed.  Copies of enduring power of attorney (EPOA) for care and welfare were in resident files for residents deemed incompetent to make decisions.  The EPOA had been activated in the three dementia care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residents,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main entrance.  The information pack provided to residents at the time of entry to the service also provides residents and family/whānau with advocacy information.  Interviews with healthcare assistants, residents and relatives informed they were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confirmed relatives and friends can visit at any time and are encouraged to be involved with the service and care.  Maintaining links with the community is encouraged.  Discussion with staff, relatives and residents confirmed residents are supported and encouraged to remain involved in the community and external groups.  There are several volunteers actively involved in assisting/supporting resident’s in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residents and family members.  The facility manager leads the investigation and management of complaints (verbal and written) in consultation with the clinical manager for clinical concerns/complaints.  A complaint register (on-line) records acknowledgement of complaints, investigation and resolution including advocacy information within the required timeframes.  Enliven concern/complaint forms are visible at the main entrance. There have been four complaints for 2018 and three written complaints and one concern to date for 2019.  One HDC complaint November 2018 has been closed with no further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confirmed they were aware of how to make a complaint.  A copy of the complaint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information was available in the front entrance of the facility and posters were on the walls in the hallways.  Client right to access advocacy services is identified for residents and advocacy service leaflets were available at the front entrance.  Information is also included in the welcome pack which is given to the resident/relative prior to or on entry to the service.  Interviews with four residents (three rest home and one hospital) and seven family members (one rest home, four hospital and two dementia care relatives) confirmed that the service functions in a way that complies with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the facility confirmed personal privacy is provided and respected for residents.  Staff were observed to be respectful of residents’ personal privacy by knocking on doors prior to entering resident rooms during the audit.  Residents and families interviewed confirmed that staff were respectful, caring and maintain their dignity, independence and privacy at all times.  A review of documentation, interviews with residents,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residents identifying as Māori including a Māori health plan.  The service's philosophy results in each person's cultural needs being considered individually.  On the day of the audit, there were two residents that identified as Māori within the service.  One resident file reviewed included a PSC Māori health plan that incorporates the resident’s culture and the principles of Eden philosophy.  The second file identified Māori cultures within the general care plan.  PSC has a cultural advisory group comprising of PSC employees and iwi representatives.  A Māori health plan incorporating principles of Eden philosophy has been developed in partnership with kaumātua, whānau, residents and staff and being implemented.  Māori consultation is available through the local iwi marae and community Pou for Māori residents.  All care staff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clinical nurse manager or registered nurses (RN), along with the resident and family/whānau complete the cultural and spiritual documentation.  Residents and family interviewed confirmed that they are involved in decision making around the care of the resident.  Families are actively encouraged to be involved in their relative's care in whatever way they want and can visit at any time of the day.  Spiritual and pastoral care is an integral part of service provision.  PSC Levin War Veterans home employs a chaplain who provides support to resident’s, families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Discrimination, coercion, exploitation and harassment policies and procedures are in place.  Code of conduct and position descriptions outline staff responsibilities in terms of providing a discrimination-free environment.  The Code of Rights is included in orientation and mandatory in-service training.  Interviews with staff confirmed their understanding of discrimination and exploitation and could describe how professional boundaries are maintained.  The code of conduct and confidential clause and information technology policy is signed on employment.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Staffing policies include pre-employment and the requirement to attend orientation and ongoing mandatory in-service training.  There are a regular staff meetings and meeting/benchmarking information available to staff.  The clinical manager and clinical coordinators and RNs have regular visits (three monthly) from the PSC nurse consultants and are readily available by phone.  Staff interviewed had a sound understanding of principles of aged care.  Staff stated that they feel supported by the management team.  The service demonstrates they are continually striving to provide quality care and have initiated several quality improvements for the service including an electronic resident management system, supporting staff to achieve level three and level four Careerforce, self-service buffet meals, falls reduction and IMIST – AMBO handover forms (identification, mechanism of injury, injuries identified, signs and symptoms, treatment and trends, allergies, medicines, background and other).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Residents and relatives interviewed stated they were welcomed on entry and were given time and explanation about the services, and charges not included in the admission agreement.  Thirteen incident forms reviewed from May 2019 on the Leecare system identified the relative had been informed of an accident/incident.  Interviews with RNs confirmed that family are kept informed.  Relatives interviewed confirmed they were notified of any changes in their family member’s health status.  There are regular resident meetings and Eden meetings.  Family meetings occur every six months.  Enliven-wide and PSC Levin War Veterans newsletters are produced on a regular basis and displayed.  Interpreter services are provided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Levin War Veterans home is owned and operated by Presbyterian Support Central organisation.  The service provides rest home (20 beds), hospital level (30 beds) and dementia level of care (18 beds), and 13 rest home/hospital dual-purpose (including one double room) for up to 81 residents.  On the day of the audit there was a total of 70 residents.  There were 27 rest home residents with seven residents in dual-purpose beds (including resident under long-term support - chronic health condition funding, one privately paying respite care) and 26 hospital level of care residents (including one respite care) and 17 dementia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business/strategic plan, philosophy of care and mission statement.  PSC Levin have a facility specific 2018-2019 business plan which links to the organisation’s strategic plan and is reviewed at quarterly meetings in consultation with the clinical director, general manager and interim chief executive officer (CEO) and management team.  PSC have developed advisory groups that involve representation from PSC facilities on quality, training, Eden philosophy, cultural advisory and business development.  There is evidence the business plan is being reviewed quarterly and reported on.  Goals for 2018 - 2019 include, falls reduction, improving hospital transfer handover in consultation with the ambulance service (link 1.1.8.1), maintain and establish further community links and continue to implement the Eden philosophy, supporting staff in ongoing education and implementation of an electronic resident management system.  Staff are involved in goal setting and these are discussed at management and staff meetings.  The service has 10 Eden principles.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with current practicing certificate) has been at the facility for six weeks and recently transferred from another PSC facility where she was the facility manager.  She has extensive experience in clinical and managerial management roles in primary health, disability and aged care services and has a master’s (clinical) degree.  The facility manager manages the two local PSC facilities (Levin and Reevedon – rest home only) and is based at the Levin facility.  The facility manager reports to the general manager and consults with the clinical director on clinical matters when required The facility manager also attends the quarterly managers meetings.  The facility manager is supported by experienced clinical nurse managers at each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at Levin War Veterans home has been in the role three years and has completed postgraduate studies.  She is supported by two clinical coordinators (hospital and rest home) and PSC clinical consultants who visit the facility quarterly or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more than eight hours of professional development relating to the management of an aged care service in the past twelve months including attending the PSC manager peer support meetings, “walking in another’s shoes” (dementia training) and is an Eden associate.  The facility manager received a site induction on appointment.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nurse manager attend the local ARC forums and hospice Sequel meetings.  The clinical manager attends clinical manager peer support meetings which include leadership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and administrator who are both employed full time, covers the facility manager absence with support from the clinical director/general manager and administration manager.  The clinical coordinators provide cover for the clinical nurse manager’s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in place.  PSC has an overall Quality Monitoring Programme (QMP) that is part of the quality programme.  Interviews with the facility manager and clinical nurse manager reflected their understanding of the quality and risk management systems that have been put into place.  The senior team meeting acts as the quality committee and monitors progress with the quality programme/goals through fortnightly combined (Levin and Reevedon) senior team meetings.  The agenda covers quality data relating to accidents/incidents, infections, wounds, internal audits, human resource/staff issues, corrective action plan updates, health and safety, Eden activity and resident/relative issues, clinical/business risk, complaints, policies, education/training and business plan goals are discussed.  Information is fed back to the monthly clinical focused meetings and general staff meetings.  Meeting minutes and reports are made available to staff.  Quality data including infections, accidents/incidents, health and safety, audit outcomes, quality improvements and complaints/compliments and policy reviews are discussed at meetings and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(including Lippincott NZ) used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Policies and procedures are reviewed by relevant personnel at head office and relevant advisory group in consultation with managers and clinical managers.  Staff have access to A-Z policies on the PSC intranet.  Staff are required to read policy changes/reviews which are also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an annual survey, internal audit programme, data collection, analysis and review of adverse events including accidents, incidents, infections, wounds and pressure injuries.  The overall survey result for 2017 and 2018 was a score of 4.0 with the PSC average of 4.34.  An analysis of specific areas surveyed demonstrated an improvement above the PSC average for meting spiritual and cultural needs and activities.  Incidents/accidents and infection control events are entered into the electronic system and a monthly report is generated.  Quality data that is collected is entered on the PSC database and benchmarked against other facilities in the group.  Action plans are developed for any clinical data above the benchmark for key performance indicators.  Internal audits have been completed as scheduled.  Audit outcomes are discussed, and corrective actions put in place including re-audits for results less than expected.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which includes a combined (Levin and Reevedon) health and safety committee.  Committee meetings are held three monthly.  There are two health and safety representatives (HCA and cleaner) on the committee.  The health and safety representative interviewed (HCA) has completed stage two of health and safety training.  Staff are informed of upcoming health and safety meetings and have the opportunity to raise any concerns with representatives.   Committee meeting minutes are posted on the health and safety board in the staff room.  There is a current hazard register for the site covering all areas of service, however two hazards identified from an environmental checklist and walk around did not have hazard reports.  Staff receive health and safety induction on employment and ongoing training as part of the education programme.  Contractors and volunteers receive a health and safety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the analysis of falls and the identification of falls prevention strategies including resident checks, sensor mats, post-falls reviews and individual resident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generated on the Leecare system and links to the organisational benchmarking programme and this is able to be used for comparative purposes with other similar services.  Trends and analysis information and graphs are available to staff.  Thirteen incident forms across the three services for May and June 2019 were reviewed.  All incident forms (skin tears, falls, bruise, pressure injury and behaviours) had been fully completed and residents reviewed by a RN.  Progress notes detailed RN follow-up, corrective actions and relative notification.  Neurological observation forms were documented and completed for unwitnessed falls with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clinical nurse manager confirmed that there is an awareness of the requirement to notify relevant authorities in relation to essential notifications.  There have been six section 31 notifications since the last audit.  One for an unstageable facility acquired pressure injury and five incidents involving police investigations (two wandering persons and two incidents of aggressive behaviours and one other for advice).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Relevant checks are completed to validate the individual’s qualifications and experience as evidenced in the nine staff files selected for review (two RNs, one clinical coordinator, one enrolled nurse, three healthcare assistants, one diversional therapist and one cook).  All files contained a job description, completed orientation and current performance appraisal.  Care staff interviewed stated that they believed new staff were adequately orientated to the service.  New staff attend a one-day orientation to the service before working alongside an observer (senior HCA).   Copies of practising certificates for RNs and allied health professionals were sighted.  The service has 14 volunteers currently involved in the service.  Nine volunteer files reviewed evidenced volunteers had completed induction, had signed volunteer agreements and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that includes annual mandatory training days for RNs (professional and core clinical days) and HCAs and other support staff.  Staff are required to attend the mandatory training days, which includes speakers, including the facility manager and clinical manager.  Records of attendance at the training days demonstrates that staff attend as required.  Individual record of training attendance is maintained.  Training days are evaluated, and training opportunities are identified.  There is additional education offered though the DHB and hospice.  The physiotherapist has monthly safe manual handling sessions.  Enliven has a professional development recognition programme for RNs and enrolled nurses that has been approved by nursing council.  Three of six RNs, the two clinical coordinators and clinical nurse manager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HCAs who work in the dementia unit.  Five HCAs have completed level four dementia unit standards.  Four HCAs who have been employed in the last six months are in the process of completing their dementia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and clinical nurse manager work full-time.  The hospital coordinator works Sunday to Thursday and the rest home coordinator works Tuesday to Saturday.  The clinical nurse manager and two clinical coordinators provide clinical on call cover.  There is one RN on duty 24 hours based in the hospital wing.  Enliven bureau RNs are utilised to cover RN annual leave/sick leave as required.  There is an enrolled nurse on seven mornings per week in the rest home and the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Matai dementia care unit has 18 beds and 17 residents on the day of audit.  There are two HCAs on the full morning shift and one flexi shift from 11.30 am to 6.00 pm.  This flexi shift can be increased or decreased dependant on the resident and occupancy of the unit.  On afternoons there are two HCAs on full afternoon shift and one HCA on night shift.  The clinical nurse manager and rest home clinical coordinator on mornings covers the dementia care unit.  The hospital RN provides support for the afternoon and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20-bed rest home – Kauri with 20 rest home residents and a 13-bed dual purpose wing (including the assessed double room) – Pohutakawa with seven rest home residents and no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hospital wings: Kowhai 14 beds with 11 hospital residents, Rimu – 6 beds with 6 hospital residents and Totara 10 beds with 9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mornings there are four teams of two HCAs working the full shifts (with staggered start and finish times) plus two flexi shifts 9.00 am to 12 noon which can be extended or decreased to meet resident acuity and occupancy.  On the afternoons there are four teams of one full shift HCA and one HCA finishing at 10.00 pm.  There are two afternoon flexi shifts which can be extended or decreased to meet resident acuity and occupancy.  Staff are allocated to the wings (rest home and hospital) for each shift.  On night shift there are three HCAs (one rest home and two hospital).  Hospital HCAs provide support to the rest home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cleaning and laundry services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protected from unauthorised access by being locked away in the nurses’ stations.  Sensitive resident information is not displayed in a way that can be viewed by other residents or members of the public.  A document destruction bin is used for confidential documents.  All electronic resident files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Written information on the service philosophy and practices particular to dementia care, (including minimisation of restraint, behaviour management and the complaints policy) are included in the information pack.  Residents and relatives interviewed confirmed they received information prior to admission and had the opportunity to discuss the admission agreement with the facility manager and/or clinical nurse manager.  The admission agreement form in use aligns with the requirements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  The service has recently reviewed its transfer/ambulance information process.  They achieved a Presbyterian Support Central award for this initiative (link 1.1.8.1).  Staff informed that it has been very well received by the ambulance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files were sampled from across each of the three levels of care including a respite resident.  The service has implemented an electronic medication system.  The medication management policies comply with medication legislation and guidelines.  Medicines are appropriately stored in accordance with relevant guidelines and legislation.  Resident’s medicines are stored securely in the medication room/cupboards in each of the three areas (rest home, hospital and dementia).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administration practice complies with the medication management policy for a medication round in each of the areas observed.  Registered nurses, the enrolled nurse and healthcare assistants administer medicines.  All staff that administers medicines are competent and have received medication management training.  The facility uses a blister pack medication management system for the packaging of all tablets.  The RN on duty reconciles the delivery and documents this.  Medical practitioners write medication charts correctly and there was evidence of three-monthly reviews by the GP.  There were no residents self-administering medicines at the time of audit; processes are in place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fully functional kitchen and all food is cooked on-site.  There is a food services manual in place to guide staff.  The food control plan was verified August 2018, however on the day of audit temperature monitoring schedules and cleaning schedules are not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A resident nutritional profile is developed for each resident on admission and provided to the kitchen staff.  This document is reviewed at least six monthly as part of the care plan review.  The kitchen is able to meet the needs of residents who require special diets and the kitchen manager works closely with the RNs on duty.  There was evidence that there are additional nutritious snacks available over the 24-hour period in the secure dementia unit.  The rest home and hospital have a buffet meal system for all residents and staff will serve meals for those who are unable to serve themselves or wish to be served.  Staff informed that this has allowed many residents to have a greater choice and often eat more.  Mealtimes observed in all units evidenced that staff were always available to assist and support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kitchen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follows a rotating seasonal menu, which has been reviewed in November 2018 by an external dietitian.  There is special equipment available for residents if required.  All food is stored appropriately.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residents should this occur and communicates this decision to residents/family/whānau and the referring agency.  Anyone declined entry is referred back to the referring agency for appropriate placement and advice.  Information on alternate placement options is given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 the sampled files reviewed, appropriate acute assessment tools were evidenced.  The interRAI assessment tool is implemented.  The service has recently implemented the Leecare system, all resident files reviewed included a wide range of assessments that, in association with interRAI, form the basis for care plan development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has been transferred onto the Leecare system with some paper-based information.  Care plans on the Leecare system in association with paper-based information described the support required to meet the resident’s goals and needs.  There was evidence of allied health care involvement in the resident files reviewed including a dietitian, speech and language therapist, podiatrist and wound care specialists.  Residents and their family/whānau interviewed reported that they are involved in the care planning and review process.  Short-term care plans were in use for changes in health status.  Staff interviewed reported they found the care plans easy to follow and were well informed regarding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care plan and report progress against the care plan each shift at handover.  If external nursing or allied health advice is required, the RNs will initiate a referral (eg, to the district nurse, hospice nurse and wound care specialist nurse).  If external medical advice is required, this will be actioned by the GPs.  Staff have access to sufficient medical supplies.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were in place for all identified wounds.  There were 14 wounds on the day of audit including one hospital resident with a stage 3 facility acquired pressure injury.  The section 31 notification had been completed.  All wounds have been reviewed in appropriate timeframes.  The RNs have access to specialist nursing wound care management advice through the district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HCAs demonstrated an understanding of the individualised needs of residents.  There was evidence of pressure injury prevention interventions such as two hourly turning charts, food and fluid charts, regular monitoring of bowels and regular (monthly or more frequently if required) weighs.  Monitoring charts had been consistently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the ten Eden principles, demonstrating a commitment to maximising resident independence and making service improvements that reflect the wishes of residents.  The activity programme meets the recreational needs of rest home and hospital level care residents and reflects normal patterns of life.  The activity team is supported by a team of 14 volunteers.</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diversional therapist (DT) who has oversight over this home and a sister facility in the same town.  She is based at Levin Home for War Veterans and is on-site three to four days a week.  Two part time activity staff along with the DT provide activities seven days a week with assistance from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set activity programmes for the facility with no specific dementia activity plan.  The overall activity plan is resident-focused and is planned around meaningful everyday activities and includes a men’s group, sunshine club, quizzes, newspaper reading, bingo, knitting, gardening, walking clubs, van outings and themed celebrations.  One younger person interviewed stated that although they do not always join in the programme, they were happy with activities provided and access to the community was supported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regular input into review of the wider programme (via Eden circles and resident surveys) and this feedback is considered in the development of the resident’s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An activity profile is completed on admission in consultation with the resident/family (as appropriate).  Relatives interviewed advised that the activity programme was interesting with lots of choice and the residents were encouraged to participate.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recreational plans had been reviewed six monthly at the same time as the care plans were reviewed.  Activity participation was noted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All care plans have recently been transferred onto the Leecare system and this process included a review and update of care needs.  Paper-based files all documented historical, six monthly written evaluations of care.  There was at least a three-monthly review by the GP.  Reassessments have been completed using interRAI for all residents who have had a significant change in health status.  The RN completing the plan signs care plan reviews.  Short-term care plans sighted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reassessed.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all stored safely throughout the facility.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in September 2019.  PSC have continued with ongoing environmental improvements such as room upgrades in the dementia unit and gardens.  A maintenance person undertakes the reactive maintenance and works 40 hours per week.  All medical and electrical equipment was recently serviced and/or calibrated.  Hot water temperatures are monitored and managed within 43-45 degrees Celsius.  The facility has sufficient space for residents to mobilise using mobility aids.  External areas are maintained.  Residents have access to safely designed external areas that have shade.  Staff stated they had enough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area has recently had improvements made to the outdoor area, which is easy to access and is well maintained.  There are also quiet low stimulus areas that provide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One large room was assessed as a double room suitable for rest home residents only.  A privacy curtain was not required on the day of audit due to occupancy by married couple. A privacy curtain could easily be installed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Some bedrooms have ensuites and other residents share communal toilets and showers.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One large resident room was assessed as suitable for rest home residents only.  There is a double call bell cord.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central dining room for the rest home and hospital residents.  There are several lounge areas and sitting rooms in the hospital and rest home.  The dementia unit has one large lounge and a smaller sunny lounge area that looks over the internal courtyard.  There is a separate dining area and activity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throughout the facility to allow maximum freedom of movement while promoting safety for those that wander.  There is adequate space to allow for group and individual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to clean the facility.  The cleaning staff have all completed the Level 2 Certificate in cleaning.  Staff have access to a range of chemicals, cleaning equipment and protective clothing.  The standard of cleanliness is monitored through the internal audit programme.  Residents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Laundry staff complete all laundry on-site for both this facility and another.  The laundry is large and well maintained.  Laundry staff are enrolled in a Level 2 Laundry Certificate qualification.  Residents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business management plan in place to ensure health, civil defence and other emergencies are included.  Staff interviewed were able to describe the emergency management plan and how to implement this.  Emergencies, first aid and CPR are included in the mandatory in-service programme.  At least one staff member is always on duty  with a current first aid certificate.  A fire evacuation plan is in place that has been approved by the New Zealand Fire Service 9 May 2016.  Six-monthly fire evacuation drills have been completed.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supplies including radios, batteries and food.  There are two portable generators, barbeques and gas bottles available.  There is enough bottled water and an external 10,000 litre water tank.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The resident room assessed as suitable for a double room has a call bell with a double call bell extension.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and night shift complete security rounds of the facility.  The building is secure after hours.  There is call bell access to the facility.  There is a new locking system installed for the dementia care gate.  A security firm conducts night patrols.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all resident rooms are appropriately heated and ventilated.  All rooms have external windows that open allowing plenty of natural sunlight.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the hospital clinical coordinator who has been in the role three years and has a current job description.  She is currently mentoring the rest home clinical coordinator to assist in the management of infection control across the service.  Infection control reporting is integrated into the senior team meeting for discussion around events, trends and corrective actions.  The infection control programme and its content and detail are appropriate for the size, complexity and degree of risk associated with the service.  The scope of the infection control programme policy and infection control programme description is available.  The programme is reviewed annually in consultation with all PSC infection control coordinators peer support day, held with the clinical director and nurse consultant.</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There is enough personal protective equipment available.  Residents are offered the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 recognised infection control course in 2016.  She attends the annual peer support training within the organisation that includes in-service, review of policies/procedures, outbreak management and sharing of information/experiences.  The infection control coordinator has access to expertise within the organisation, DHB infection control nurse specialist, public health, GPs and laboratory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IC policies, standards and guidelines and includes defining roles, responsibilities and oversight, the infection control team, training and education of staff.  The infection control policies and procedures are developed and reviewed by the organisational policy review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part of the three-yearly cycle of mandatory training schedule.  All staff complete infection control education and workbook on orientation.  Toolbox talks at handovers include discussions around topical infection control matters or resident concerns.  Infection control is discussed at all facility meetings.  Hand hygiene audits are completed annually.  There is an infection control board in the staff room with notices that keep staff informed on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the facility.  The RNs complete an infection event form which alerts the infection control coordinator of resident infections.  Monthly infection events are collated on the Leecare system with an end of month trends and analysis.  Corrective actions for events above the benchmarking KPIs is reported to the senior team and clinical/RN.  Infection control is discussed at facility meetings and staff are provided with a hyperlink to infection control data.  Internal infection control audits also assist the service in evaluating infection control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support of the use of enablers and restraints.  The policy meets the intent of the restraint minimisation standards.  The clinical nurse manager is the restraint coordinator and has a job description which defines the responsibility of the role.  There were no residents with restraint and no residents with enablers on the day of audit.  Restraint minimisation and enablers and challenging behaviour education is completed on orientation and included in the education planner.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373"/>
        <w:gridCol w:w="1280"/>
        <w:gridCol w:w="4047"/>
        <w:gridCol w:w="1935"/>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hazard register with identified hazards within the workplace.  The hazard register is reviewed by the health and safety committee and includes hazard control plans to minimise the risk.  Staff complete paper-based hazard report forms for any new/uncontrolled hazards.  Regular internal audits for health and safety are completed. There were no hazard reports for two known hazards identified during the tour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hazard reports for two known hazards identified during the tour of the audit. </w:t>
            </w:r>
          </w:p>
          <w:p w:rsidR="00EB7645" w:rsidRPr="00BE00C7" w:rsidP="00BE00C7">
            <w:pPr>
              <w:pStyle w:val="OutcomeDescription"/>
              <w:spacing w:before="120" w:after="120"/>
              <w:rPr>
                <w:rFonts w:cs="Arial"/>
                <w:b w:val="0"/>
                <w:lang w:eastAsia="en-NZ"/>
              </w:rPr>
            </w:pPr>
            <w:r w:rsidRPr="00BE00C7">
              <w:rPr>
                <w:rFonts w:cs="Arial"/>
                <w:b w:val="0"/>
                <w:lang w:eastAsia="en-NZ"/>
              </w:rPr>
              <w:t>1)  An environmental checklist previously identified a potential high-risk hazard in the dementia unit kitchenette being the use of jugs (on the bench unit) for boiling water.   There was no control plan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The carpet in an entrance way to a communal resident area was overstretched and posed a slip, trip, fall hazard.  This was addressed the next day.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hazard reports are completed for identified hazards and steps taken to eliminate, isolate or minimise the risk.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food control plan documented.  The kitchen manual, and schedules for checking and cleaning are documented but not always followed.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Weekend cleaning is not documented and undertaken as per the cleaning schedule.</w:t>
            </w:r>
          </w:p>
          <w:p w:rsidR="00EB7645" w:rsidRPr="00BE00C7" w:rsidP="00BE00C7">
            <w:pPr>
              <w:pStyle w:val="OutcomeDescription"/>
              <w:spacing w:before="120" w:after="120"/>
              <w:rPr>
                <w:rFonts w:cs="Arial"/>
                <w:b w:val="0"/>
                <w:lang w:eastAsia="en-NZ"/>
              </w:rPr>
            </w:pPr>
            <w:r w:rsidRPr="00BE00C7">
              <w:rPr>
                <w:rFonts w:cs="Arial"/>
                <w:b w:val="0"/>
                <w:lang w:eastAsia="en-NZ"/>
              </w:rPr>
              <w:t>(ii)  Fridge and freezer temperatures have not been consistently documented, with the service relying on the temperature alarm to highlight any issues.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and (ii) Ensure that cleaning and monitoring schedules are followed as per the food control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dementia resident files reviewed all evidenced an individual activity plan that covered the 24-hour time period.  However, the dementia unit did not have a dementia specific activity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are welcomed to the overall activity programme and this is encouraged by staff.  There is no documented activity programme for the dementia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dementia unit specific activity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5547"/>
        <w:gridCol w:w="57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 need to enhance the communication and mutual respect between the RNs and ambulance officers around the handover and transfer of residents to hospital within a timely manner.  Together the services commenced the use of the IMIST-AMBO handover forms in January 2018 which has resulted in increased RN skills, no delays in transfer of resident to hospital and reduced number of urgent transfers and GP call outs.  The service has made a change to the GP contracted service which has also reduced the number of admissions to hospital.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There were meetings and discussion held with the territory manager of St Johns, the service management team and RNs to improve handovers where the RN clinical assessment was respected and the ambulance staff were fully informed of the challenge’s RNs faced within residential care for the acutely unwell resident.  The RNs skills and information during handovers required improvement.  Based on research the IMIST-AMBO handover form was implemented and has improved the relationship between the two services.  RN orientation now includes the IMIST-AMBO handover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The service changed GP contracts and the GP now completes twice weekly visits with flexible hours to complete all documentation, three monthly reviews, see residents of concern and complete any new admission visits.  The GP is available on call 24 hours but due to increased hours during the week and availability as required, there have been reduced number of afterhours GP call outs and urgent transfers to hospital.  </w:t>
            </w:r>
          </w:p>
          <w:p w:rsidR="00EB7645" w:rsidRPr="00BE00C7" w:rsidP="00BE00C7">
            <w:pPr>
              <w:pStyle w:val="OutcomeDescription"/>
              <w:spacing w:before="120" w:after="120"/>
              <w:rPr>
                <w:rFonts w:cs="Arial"/>
                <w:b w:val="0"/>
                <w:lang w:eastAsia="en-NZ"/>
              </w:rPr>
            </w:pPr>
            <w:r w:rsidRPr="00BE00C7">
              <w:rPr>
                <w:rFonts w:cs="Arial"/>
                <w:b w:val="0"/>
                <w:lang w:eastAsia="en-NZ"/>
              </w:rPr>
              <w:t>Both quality initiatives have had a positive outcome for residents with timely interventions and reduced admissions to hospital.  In the period January to June 2018 there were nine afterhours GP call outs and 13 urgent transfers to hospital.  Compared with the same period for 2019 there were 0 after hours GP call outs and nine urgent transfers to hospital.  The quality initiative for IMIST-AMBO handover forms was awarded the winner of quality and innovative awards for the category of Demonstrable improvement to resident lives at the recent Enliven awards ceremony.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Levin Home for War Veterans</w:t>
    </w:r>
    <w:bookmarkEnd w:id="58"/>
    <w:r>
      <w:rPr>
        <w:rFonts w:cs="Arial"/>
        <w:sz w:val="16"/>
        <w:szCs w:val="20"/>
      </w:rPr>
      <w:tab/>
      <w:t xml:space="preserve">Date of Audit: </w:t>
    </w:r>
    <w:bookmarkStart w:id="59" w:name="AuditStartDate1"/>
    <w:r>
      <w:rPr>
        <w:rFonts w:cs="Arial"/>
        <w:sz w:val="16"/>
        <w:szCs w:val="20"/>
      </w:rPr>
      <w:t>17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