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APPQ Limited- Torbay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APPQ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Torbay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June 2019</w:t>
      </w:r>
      <w:bookmarkEnd w:id="7"/>
      <w:r w:rsidRPr="009418D4">
        <w:rPr>
          <w:rFonts w:cs="Arial"/>
        </w:rPr>
        <w:tab/>
        <w:t xml:space="preserve">End date: </w:t>
      </w:r>
      <w:bookmarkStart w:id="8" w:name="AuditEndDate"/>
      <w:r w:rsidR="00A4268A">
        <w:rPr>
          <w:rFonts w:cs="Arial"/>
        </w:rPr>
        <w:t>19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Torbay Rest Home provides rest home and dementia levels of care for up to 52 residents.  During the audit there were 37 residents.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and other documentation; a review of residents and staff files; observations and interviews with family members, staff, management and a general practitioner.  </w:t>
      </w:r>
    </w:p>
    <w:p w:rsidRPr="00A4268A">
      <w:pPr>
        <w:spacing w:before="240" w:line="276" w:lineRule="auto"/>
        <w:rPr>
          <w:rFonts w:eastAsia="Calibri"/>
        </w:rPr>
      </w:pPr>
      <w:r w:rsidRPr="00A4268A">
        <w:rPr>
          <w:rFonts w:eastAsia="Calibri"/>
        </w:rPr>
        <w:t>The nurse manager and a clinical nurse leader were on site during the week.  The residents and relatives spoke positively about the care and supports provided at the rest home.</w:t>
      </w:r>
    </w:p>
    <w:p w:rsidRPr="00A4268A">
      <w:pPr>
        <w:spacing w:before="240" w:line="276" w:lineRule="auto"/>
        <w:rPr>
          <w:rFonts w:eastAsia="Calibri"/>
        </w:rPr>
      </w:pPr>
      <w:r w:rsidRPr="00A4268A">
        <w:rPr>
          <w:rFonts w:eastAsia="Calibri"/>
        </w:rPr>
        <w:t>Improvements identified at the audit are required to the following: annual completion of performance appraisals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 Each resident in the dementia unit has an Enduring Power of Attorney.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Operational management is delegated by the owner to the clinical nurse manager with support from the clinical nurse leader and the administrator.  </w:t>
      </w:r>
    </w:p>
    <w:p w:rsidRPr="00A4268A">
      <w:pPr>
        <w:spacing w:before="240" w:line="276" w:lineRule="auto"/>
        <w:rPr>
          <w:rFonts w:eastAsia="Calibri"/>
        </w:rPr>
      </w:pPr>
      <w:r w:rsidRPr="00A4268A">
        <w:rPr>
          <w:rFonts w:eastAsia="Calibri"/>
        </w:rPr>
        <w:t xml:space="preserve">There is a documented quality and risk management system in place that includes quality and risk management plans.  There are a range of policies, procedures and forms in use to guide practice.  Key components of the quality management system include analysis of data around risks, complaints, incidents, accidents and results from review of goals and surveys.  The organisational meetings include discussion around data.  </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an implemented orientation and induction programme and an annual training plan implemented.  Staff in the dementia unit are trained to provide specific care and support for the residents.  There is a documented rationale for determining staff levels and staff mix to provide safe service delivery and there are adequate numbers of staff to meet acuity and numbers of residents.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A registered nurse is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Residents and families commented positively on the meals.  Snacks are always available.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twelve superior units with ensuites.  All other rooms have toilets and hand-basins but share communal showers.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nurse has attended external education and coordinates education and training for staff.  Infection prevention and control is integrated into full staff meetings.  There is a suite of infection control policies and guidelines to support practice.  A monthly infection control report is completed for analysis.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5"/>
        <w:gridCol w:w="1280"/>
        <w:gridCol w:w="90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of Health and Disability Services Consumers’ Rights (the Code) policy and procedure is implemented.  Discussions with three managers (the owner, nurse manager, clinical nurse leader), and ten staff (one administrator, four caregivers, one activities coordinator, one cook, one cleaner, one laundry staff, and one maintenance staff) confirmed their familiarity with the Code relative to their roles and responsibilities.  Interviews with eight rest home residents and five family members (three dementia, two rest home) confirmed that the services being provided are in line with the Code.  Aspects of the Code were discussed at resident and staff meetings held to date, as confirmed in a review of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on all resident files reviewed (five rest home and two dementia).  Discussions with staff confirmed that they were familiar with the requirements to obtain informed consent for entering rooms and personal care.  Enduring power of attorney (EPOA) evidence is filed in the residents’ charts.  In the dementia unit all residents sampled had activated EPOAs.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received training on advocacy from a Health and Disability Advocacy Service staff member.  Information about accessing advocacy services information was available in the entrance foyer and on the complaint’s forms.  This included advocacy contact details.  The information pack provided to residents at the time of entry to the service also provided residents and family with advocacy information.  Support is available if requested with family all stating that they knew how to contact an advocate if required.  Interviews with staff, residents and relatives confirmed they were aware of advocacy services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Residents and relatives confirmed this and provided examples of a variety of community functions and groups they attend.  Visiting can occur at any time.</w:t>
            </w:r>
          </w:p>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and family are encouraged to visit as confirmed by family interviewed.  Family members were observed to engage with residents during the day of audit.  Residents are supported and encouraged to partake in the planned activities programme as per their care plan (link 1.3.7.1).  This was confirmed in residents’ records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identified that the service provides opportunities for the family or enduring power of attorney (EPOA) to be involved in decisions.  Resident files include information on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are complaint forms available at the entrance to the facility.  Information about complaints is provided on admission.  The nurse manager and the clinical nurse leader operate an ‘open door’ policy.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The complaints for 2018 since the change in ownership and for 2019 were reviewed.  There have been two complaints received.  One was resolved the day after receiving this and the second was received on the day of audit and is being investigated.  Documentation included follow-up communication and confirmation that the complainant was satisfied with the outcome.  The complaint was managed in accordance with guidelines set by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are linked to staff meetings.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Posters display the Code and leaflets are available at reception.  On entry to the service, the nurse manager, the nurse leader or the administrator discuss aspects of the Code with the resident and the family.  The service can provide information about the Code in different languages and/or in large print if requested.  Written information is given to residents and/or next of kin/enduring power of attorney (EPOA) to read with the resident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to respect residents’ privacy and could describe how they manage maintaining privacy and respect of personal property.  All residents interviewed stated their needs were met and their privacy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spiritual care.  All residents and family interviewed indicated that each resident’s spiritual needs are being met.  Residents were supported to attend their own churches if they desired and church services were held in the service.  Notices on the noticeboard advertise communion and other church services held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received training around resident abuse and neglect.  There were no reported instances of either in incident forms reviewed since the change in ownership in 2019. Staff, residents and family were asked if there was any sign of abuse or neglect and all stated that there was never any abuse or neglect at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documented for the service.  Activities included Māori entertainers.  Staff training included cultural safety with this offered annually.  Discussions with care staff confirmed that they were aware of the need to respond to cultural differences.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identified as Māori.  A Māori assessment and plan had been completed for both residents that included key contacts, a whānau focus and iwi.  The care plan also included any specific requests for care from a cultural perspective.  Care plans included input from the resident and their whānau.  One resident interviewed who identified as Māori stated that their cultural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can access Māori advisors through the Waitemata District Health Board and has in the past accessed the service for tikanga such as blessing rooms after a death of a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and relatives interviewed reported that they were satisfied that their cultural and individual values were being met, and these were documented in care plans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a code of conduct.  The nurse manager supervises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care and compassion towards the residents as observed during the audit.  Residents and families interviewed stated that the care provided was ‘excellent’.  Families and residents interviewed stated there is no evidence that staff breach any professional boundaries.  Previous and current training plans sampled confirmed there is ongoing education regarding discrimination as part of the training around resident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guide staff actions with these linked to evidence-based practice.  These align with the Health and Disability Services Standards.  Policies are reviewed as changes to legislation or practice occurs with these updated at regular intervals by an external consultant.  The nurse manager, administrator and the clinical nurse leader have access to the internet and external expertise if they need to consult and/or gain further clinical knowledge or advice.  Access was able to be described by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was provided to meet resident needs.  There is a general practitioner who visits the facility at least weekly and as required.  The general practitioner stated that they were confident in the skills and abilities of the nurse manager and clinical nurse leader to provide clinical leadership and oversight.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confirmed they were very satisfied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Family, including family for residents in the dementia unit, confirmed that they and their family member were welcomed into the unit with communication around the model of service provided and support given to their family member to adjust to the unit.  The welcome pack has a specific section around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the policy and process around open disclosure alerted staff to their responsibility to notify family/next of kin of any accident/incident and ensure full and frank open disclosure occurs.  Fifteen incident/accident forms were viewed.  The forms included a section to record family notification.  Family notification is also documented in the residents’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consent form identified situations that family wished to be contacted with this completed in each resident record reviewed.  All incident/accident forms reviewed confirmed family were informed following an adverse event if they indicated that they wanted to be informed.  Family interviewed confirmed they are kept informed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required.  Family and staff were used in the first instance.  There was one resident who had English as a second language, but they were also fluent in English.  Family were used as interpreters and the family member interviewed stated that staff always rang them if they needed an interpreter.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Torbay Rest Home provides rest home and dementia levels of care for up to 52 residents.  This includes ten dementia beds (seven occupied on the day of audit) and 42 beds identified as rest home level of care including 12 superior units and one double room occupied by a single resident.  On the day of the audit, there were 29 rest home level residents including nine in the superior units and one resident in a superior unit who receives care under an assisted living contract.  All other residents were on the age-related residential care services agreement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is on site daily during the week to monitor service delivery and to communicate with the nurse manager.  The owner also owns two rest home level facilities in Auckland.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business goals and a quality and risk management plan.  The nurse manager was appointed to the role in April 2019 and has a background in management roles prior to this for five years.  They provide operational management and clinical oversight.  The nurse manager has completed a minimum of eight hours of professional development over the past 12 months relating to the management of an aged care facility.  They are supported by the clinical nurse leader who is also employed five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nurse manager, the clinical nurse leader is in charge with support from the owner if required.  The administrator also provides support for administrative tasks.  The clinical nurse leader has been in the role since April 2019 and has previous experience in aged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care staff confirmed their understanding of the quality and risk management systems that have been put into place.  Policies and procedures are provided by an external consultant and include interRAI procedures.  A system of document control is in place with evidence of regular reviews.  Staff are made aware of any policy changes through staff meetings,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goals are documented.  The monthly collating and analysis of quality and risk data includes monitoring accidents and incidents, resident satisfaction and infection rates.  Adverse events are also trended individually by resident.  Internal audits regularly monitor compliance.  A corrective action form is completed where areas are identified for improvement with evidence of resolution of issues.  Staff are kept informed of results and any corrective actions through staff meetings and staff handovers.  The quality programme is linked to the annual training plan with extra and impromptu training offered as issues are identified.  Annual resident satisfaction surveys are completed.  The last resident and family satisfaction survey results completed in July 2018 have been correlated and no corrective actions were required.  The satisfaction survey results indicated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which includes managing identified hazards.  The nurse manager oversees the programme.  There are two health and safety representatives (maintenance staff and administrator).  Health and safety training begins during the new employee’s orientation and continues in the annual training programme.  The topic of health and safety is discussed each month in the staff meetings.  The hazard register is regularly reviewed and updated as new hazards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included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on a paper-based system.  Incident and accident data are collected and analysed monthly and a report is documented and shared at the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resident related incident forms were reviewed for 2019.  The accident/incident forms that were selected for review indicated that immediate action had been taken, including half-hourly neurology observations for any suspected head injury or for an unwitnessed fall.  All were signed off by the nurse manager as being completed with actions taken to prevent further incidents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nurse manager and clinical nurse leader confirmed their awareness of the requirement to notify relevant authorities in relation to essential notifications. Section 31 reports had been sent to the appropriate authorities for a change in nurse manager, notice of a resident who absconded and notification of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includes the recruitment and staff selection process.  Relevant checks are completed to validate the individual’s qualifications, experience and veracity.  Copies of practising certificates are kept.  Six staff files (one clinical manager, one clinical nurse leader, one activities coordinator, two caregivers, one cook) reviewed, evidenced implementation of the recruitment process, employment contracts and completed orientation.  Staff interviewed were able to describe the orientation process and reported new staff were adequately orientated to the service.  The in-service education programme for 2018 has been completed and the education plan for 2019 is currently being implemented.  The nurse manager and clinical nurse leader attend external training, which includes sessions provided by the Waitemata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was employed in April 2019 and recognised that performance appraisals were due or outdated.  An action plan has been put in place to address the issue.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is scheduled for interRAI training July 2019.  There is a casual registered nurse who is interRAI trained.  They can relieve or support the clinical nurse leader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are currently employed in the dementia unit.  Five of the staff that work in the unit have completed the required NZQA standards and three are in the process of completing theirs.  One staff member has only recently been employed.  There are also three other caregivers who have completed their NZQA dementia training and who are able to relieve or provide support in the unit if required.  All care staff have received annual in-service training around challenging behaviours and caring for residents with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is in place.  Enough staff are rostered on to manage the care requirements of the residents.  There are two full-time registered nurses (nurse manager and the clinical nurse leader) employed by the service with on-site cover provided Monday to Friday.  There is a casual registered nurse available to provide cover when the nurse manager or clinical nurse leader is on leave.  There is also a second casual registered nurse available if required.  The nurse manager and clinical nurse leader provide 24-hour on-call cover when not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roster reviewed covers 30 rest home level residents (including one assisted living).  There are four caregivers on the morning shift (two eight-hour shifts and two short shifts (7 am to 1 pm and 7 am to 11 am); three on the afternoon shift (two eight-hour shifts and one short shift (4 pm to 9 pm) and two on night shift.  Staff allocate residents to staff according to acuity on the day.  All staff were able to respond within at least three minutes to any bell rung on the day of audit.  The building is configured to enable staff to respond to a resident’s needs whenever they require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are living in the dementia unit.  One caregiver is rostered on each shift (morning, afternoon and night).  Staff are provided with time out of the unit for breaks by staff in the rest home.  Staff from the rest home hear and respond to the call bell in the dementia unit to support the caregiver rostered on duty.  This was observed to occur promptly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is employed five days a week from 9.30 am to 2.30 pm.  Two cleaners are employed Monday to Friday and one laundry staff works Monday to Friday and Saturday mornings.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staff interviewed confirmed that extra staff could be called in for increased resident requirements with examples given of this occurring.  Staff reported that staffing levels and the skill mix are appropriate and safe.  Residents and family interviewed advised that they felt there was sufficient staffing.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Other residents or members of the public cannot view sensitive resident information.  Entries in records are legible, dated and signed by the relevant caregivers or registered nurse.  Individual resident files demonstrate service integration.  This includes medical care interventions and records of the diversional therapist.  Medication charts are in a separate folder and this is appropriate for the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The RN and senior medication competent caregivers administer medications.  All staff have up-to-date medication competencies and there has been medication education in 2018 with this due again this month.  The medication fridge temperature was checked daily.  Eye drops were dated when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Fourteen medication charts were reviewed.  Medications were reviewed at least three monthly by the general practitioner.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kitchen manager who works Saturday to Wednesday 7.30 am – 3.30 pm.  There is a cook who works the same hours Thursday and Friday.  There is a kitchenhand who works 8.00 am – 3.00 pm and another kitchenhand who works 4.30 pm – 6.30 pm.  All have current food safety certificates.  The kitchen manager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plated in the kitchen, have covers placed on them and are then served from trollies.  Meals going to rooms on trays also have covers to keep the food warm.  Special equipment such as lipped plates is available.  On the first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or as changes occur.  Changes to residents’ dietary needs have been communicated to the kitchen.  Special diets and likes and dislikes were noted on a whiteboard.  The four-weekly menu cycle is approved by a dietitian.  All residents and family members interviewed were satisfied with the meals.  They particularly commented on the home baking.  The dementia unit has ample snacks available.</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14 May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are not limited to) nutrition, pain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were resident centred.  Interventions documented support needs and provide detail to guide care.  Short-term care plans were in use for changes in health status.  Residents and relatives interviewed stated that they were involved in the care planning process.  There was evidence of service integration with documented input from a range of specialist care professionals including the dietitian, wound care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changed, the registered nurse initiated a GP consultation.  Staff stated that they notify family members about any changes in their relative’s health status and family interviewed confirmed this.  All care plans sampled had interventions documented to meet the needs of the resident.  Care plans had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were reported on accident forms and written in the progress notes.  Neurological observations were completed for unwitnessed falls or falls where residents hit their heads.  Family were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were documented, and wound monitoring occurred as planned.  There were three minor wounds being treated.  There were no pressure injuries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in use as applicable including documentation of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activities coordinator who works 24 hours a week.  The activities coordinator is currently completing level 3 education and wants to complete the diversional therapy course.  There is currently no oversight of the activity’s coordinator or the activities programme.  On the days of audit, rest home residents were observed going for walks, enjoying pet therapy, playing games and going on a van outing.  There were no activities observed in the dementia unit, but some dementia unit residents came out to join the rest home activities.  A caregiver was observed giving one-to-one attention in the dementia unit, but this was interrupted when a resident with behaviour that challenges needed attention.</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rest home programme in large print on noticeboards.  Some residents have a copy in their rooms.  Residents have the choice of a variety of activities in which to participate and every effort is made to ensure activities are meaningful and tailored to residents’ needs.  Those residents who prefer to stay in their room or who need individual attention have one-to-one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interdenominational church service every second Wednesday and a Catholic priest comes every second week to give communion.</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every Tuesday.  Some residents from the dementia unit go out in the van as well.  There is pet therapy every second Tuesday and the rest home has a cat.  Entertainers visit the facility every Friday.  Happy Hour is also held on a Friday.  Special events such as birthdays, Easter, Anzac Day, and Queens’s birthday are recognised and celebrated.  Currently there are no visiting groups such as schools, pre-schools, but the manager, administrator and activities coordinator are currently negotiating for this to occur.  Some residents go out to the RSA and two residents attend the local CMA.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 plans reviewed had been evaluated by the registered nurse six monthly or when changes to care had occurred.  The other care plan was for a new admission and review as not required to date.  Short-term care plans for short-term needs were evaluated and signed off as resolved or added to the long-term care plan as an ongoing problem.  Activities plans were in place for each of the residents and these were evaluated six monthly.  The multidisciplinary review involves the clinical nurse lead, caregivers, activities coordinator and resident/family if they wish to attend.  There were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was evident in the resident files reviewed.  The service facilitated access to other medical and non-medical services.  Referral documentation was maintained on resident files.  There was evidence of where residents had been referred to the mental health services for older people and the dietitian.  Discussion with the registered nurses (nurse manager and clinical nurse leader)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substances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30 June 2019.  There is a maintenance person who works five hours weekly.  The maintenance staff also maintains the gardens with a contracted person to mow the lawns.  Contractors for plumbing and electrical work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had been tested and tagged.  Medical equipment had been calibrated.  There were stand-on scales.  Hot water temperatures had been monitored randomly in resident areas and were within the acceptable range.  The rest home communal lounges and bedrooms were carpeted, and hallways had vinyl.  The dementia communal lounge and hallway was carpeted but the bedrooms had vinyl on the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have safety rails and promote safe mobility with the use of mobility aids.  Residents were observed moving freely around the areas with mobility aids where required.  The external areas and gardens were well maintained.  There is a large safely fenced outdoor area with raised flower beds for the dementia unit.  All outdoor areas have seating and shade.  There was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rest home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twelve superior rooms in the rest home have ensuites.  All other rooms in the rest home have toilets and hand-basins but share communal showers.  All rooms in the dementia unit have toilets and hand basins but share communal showers.  There are sufficient communal showers.  Fixtures, fittings and flooring are appropriate. Toilet/shower facilities are easy to clean.  There is ample space in toilet and shower areas to accommodate shower chairs.  There are signs on all shower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twelve superior rooms in the rest home, and these have lounges/kitchenettes, a bedroom and an ensuite.  These are accessible to residents and staff by a covered walkway and ranch sliders.  Staff can obtain keys to open the ranch sliders when required.  There are 29 single rooms in the rest home and one double.  The double room is currently occupied by one person.  The facility is currently erecting a rail so that if the room is used as a double, privacy curtains would be able to be put up.  Consent has been given to use as a double room if required.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lounges/dining areas are large.  There are small nooks where residents who prefer quieter activities or visitors may sit.  Activities occur in the larger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done on site.  There is a laundry worker employed for four days a week.  When the laundry worker is not on duty a cleaner takes over the laundry work once the cleaning has been completed.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is no sluice room but there is a sink in the laundry for the disposal of soiled water and the sluicing of soiled linen if required.  The laundry is kept locked when not in use.  All chemicals are kept in a locked cupboard.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evacuation practice documentation was sighted with the last drill taking place on 11 July 2018.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Fire training and security situations are part of the orientation of new staff.  Emergency equipment is available at the facility.  There are adequate supplies in the event of a civil defence emergency including food, water, blankets and gas cooking.  There is short-term back-up power for emergency lighting.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across 24/7.  </w:t>
            </w:r>
          </w:p>
          <w:p w:rsidR="00EB7645" w:rsidRPr="00BE00C7" w:rsidP="00BE00C7">
            <w:pPr>
              <w:pStyle w:val="OutcomeDescription"/>
              <w:spacing w:before="120" w:after="120"/>
              <w:rPr>
                <w:rFonts w:cs="Arial"/>
                <w:b w:val="0"/>
                <w:lang w:eastAsia="en-NZ"/>
              </w:rPr>
            </w:pPr>
            <w:r w:rsidRPr="00BE00C7">
              <w:rPr>
                <w:rFonts w:cs="Arial"/>
                <w:b w:val="0"/>
                <w:lang w:eastAsia="en-NZ"/>
              </w:rPr>
              <w:t>There were call bells in the residents’ rooms and lounge/dining room areas.  Residents were observed to have their call bells in close proximity to their bed and in the toilets.  Residents who are at risk of falling or who are unable to activate the call system next to their bed also wear a watch alarm that is activated either manually or if they 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one outdoor area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Torbay Rest Home has an established infection control (IC) programme that is appropriate for the size, complexity and degree of risk associated with the service.  The clinical nurse leader is the designated infection control nurse and responsibilities for the role are described in the job description.  Infection control data is discussed at the staff meetings.  Infection control education has been provided for staff.  The infection control programme has been reviewed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Torbay Rest Home.  The infection control nurse has completed education in infection control in the past 12 months.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and training and education of staff.  The policies are reviewed and updated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The infection control coordinator, who has completed training to ensure knowledge of current practice, facilitates education.  All infection control training has been documented and a record of attendance has been maintained.  Education around infection prevention and control has been provided as part of the annual training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for the size and complexity of the facility.  Infection surveillance is an integral part of the infection control programme and is described in the infection control manual.  Monthly infection data is collected for all infections based on signs and symptoms of infection.  Surveillance of all infections is entered onto a monthly infection summary.  This data is monitored and evaluated monthly and annually.  The infection control programme is linked to the quality management programme.  Outcomes and actions are discussed at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since the previous audit.  The general practitioner was involved in managing and monitoring the outbreak.  The district health board was notified as was the Ministry of Health.  The facility was put into isolation with all staff reminded of the isolation protocols and infection control policies.  Cleaning was reviewed and increased.  The administrator stated that the Auckland Regional Public Health service was notified (confirmed through email documentation), and they provided advice and support.  The report was documented in the March surveillance summary and while brief, did include key aspects of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nurse manager is the designated restraint coordinator.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on restraint minimisation and enablers was last provided in July 2018.  There were no residents with restraints or enablers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8"/>
        <w:gridCol w:w="1280"/>
        <w:gridCol w:w="6785"/>
        <w:gridCol w:w="2118"/>
        <w:gridCol w:w="15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overdue for annual performance appraisals.  The nurse manager (appointed in April 2019) has recognised the issue and has put a corrective action plan in place to address.  This is being implemented.  Out of the total number of staff, 55% have a current performance appraisal.  Of the staff files reviewed, one of six did not have a current performance appraisal.  The sample of staff records was increased and of the three reviewed, a further two did not have a current performance appraisal.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Forty-five percent of staff do not have a current performance appraisal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Continue to implement the corrective action plan to ensure that all staff have a current performance appraisal.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oversight of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was a planned rest home activities programme and some residents from the dementia unit come out to join in rest home activities and to go on van outings.  There was no separate planned activities programme in the dementia unit.  There were one-to-one activities provided by caregivers in the dementia unit, but these could be interrupted if residents with behaviours that challenge need attention or cares for a resident are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oversight of the activities programme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While there are one-to-one activities provided by caregivers in the dementia unit, there is no structured activities programme provided by the activities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oversight of the activities programme in the dementia unit by a suitably qualified person. </w:t>
            </w:r>
          </w:p>
          <w:p w:rsidR="00EB7645" w:rsidRPr="00BE00C7" w:rsidP="00BE00C7">
            <w:pPr>
              <w:pStyle w:val="OutcomeDescription"/>
              <w:spacing w:before="120" w:after="120"/>
              <w:rPr>
                <w:rFonts w:cs="Arial"/>
                <w:b w:val="0"/>
                <w:lang w:eastAsia="en-NZ"/>
              </w:rPr>
            </w:pPr>
            <w:r w:rsidRPr="00BE00C7">
              <w:rPr>
                <w:rFonts w:cs="Arial"/>
                <w:b w:val="0"/>
                <w:lang w:eastAsia="en-NZ"/>
              </w:rPr>
              <w:t>Provide a structured activities programme for the dementia unit to meet the needs of those in the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APPQ Limited- Torbay Rest Home</w:t>
    </w:r>
    <w:bookmarkEnd w:id="58"/>
    <w:r>
      <w:rPr>
        <w:rFonts w:cs="Arial"/>
        <w:sz w:val="16"/>
        <w:szCs w:val="20"/>
      </w:rPr>
      <w:tab/>
      <w:t xml:space="preserve">Date of Audit: </w:t>
    </w:r>
    <w:bookmarkStart w:id="59" w:name="AuditStartDate1"/>
    <w:r>
      <w:rPr>
        <w:rFonts w:cs="Arial"/>
        <w:sz w:val="16"/>
        <w:szCs w:val="20"/>
      </w:rPr>
      <w:t>18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