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Millvale Lodge Lindale Limited - Millvale Lodge Lindale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Millvale Lodge Lindale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Millvale Lodge Lindale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June 2019</w:t>
      </w:r>
      <w:bookmarkEnd w:id="7"/>
      <w:r w:rsidRPr="009418D4">
        <w:rPr>
          <w:rFonts w:cs="Arial"/>
        </w:rPr>
        <w:tab/>
        <w:t xml:space="preserve">End date: </w:t>
      </w:r>
      <w:bookmarkStart w:id="8" w:name="AuditEndDate"/>
      <w:r w:rsidR="00A4268A">
        <w:rPr>
          <w:rFonts w:cs="Arial"/>
        </w:rPr>
        <w:t>7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Dementia Care New Zealand (DCNZ) – Millvale Lodge Lindale provides rest home, hospital (geriatric) and dementia care for up to 44 residents.  Three rooms have been temporarily decommissioned while a new wing is being built.  On the day of audit there were 42 residents.</w:t>
      </w:r>
    </w:p>
    <w:p w:rsidRPr="00A4268A">
      <w:pPr>
        <w:spacing w:before="240" w:line="276" w:lineRule="auto"/>
        <w:rPr>
          <w:rFonts w:eastAsia="Calibri"/>
        </w:rPr>
      </w:pPr>
      <w:r w:rsidRPr="00A4268A">
        <w:rPr>
          <w:rFonts w:eastAsia="Calibri"/>
        </w:rPr>
        <w:t xml:space="preserve">This surveillance audit was conducted against the health and disability sector standards and the district health board contract.  The audit process included the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The operational manager (non-clinical) has worked for DCNZ for ten years and has been in this role for three years.  The clinical manager has worked for DCNZ for six years and has been in the role for just under three years.</w:t>
      </w:r>
    </w:p>
    <w:p w:rsidRPr="00A4268A">
      <w:pPr>
        <w:spacing w:before="240" w:line="276" w:lineRule="auto"/>
        <w:rPr>
          <w:rFonts w:eastAsia="Calibri"/>
        </w:rPr>
      </w:pPr>
      <w:r w:rsidRPr="00A4268A">
        <w:rPr>
          <w:rFonts w:eastAsia="Calibri"/>
        </w:rPr>
        <w:t xml:space="preserve">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The previous finding around documentation of implemented care has been addressed. </w:t>
      </w:r>
    </w:p>
    <w:p w:rsidRPr="00A4268A">
      <w:pPr>
        <w:spacing w:before="240" w:line="276" w:lineRule="auto"/>
        <w:rPr>
          <w:rFonts w:eastAsia="Calibri"/>
        </w:rPr>
      </w:pPr>
      <w:r w:rsidRPr="00A4268A">
        <w:rPr>
          <w:rFonts w:eastAsia="Calibri"/>
        </w:rPr>
        <w:t>The service has maintained a continuous improvement rating around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Millvale Lodge Lindale management operate an open-door policy.  Residents and relatives are kept informed on all aspects of their health, including accidents/incidents.  Complaints and concerns have been managed appropriately and an up to date complaint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Millvale Lodge Lindale is implementing the DCNZ quality and risk management system.  The quality and risk management programme includes service philosophy, goals and a quality planner.  Quality activities are conducted, and this generates improvements in practice and service delivery.  Facility meeting minutes evidence discussion around quality and risk management data.  Health and safety policies, systems and processes are implemented to manage risk.  Incidents and accidents are reported and followed through.  </w:t>
      </w:r>
    </w:p>
    <w:p w:rsidRPr="00A4268A">
      <w:pPr>
        <w:spacing w:before="240" w:line="276" w:lineRule="auto"/>
        <w:rPr>
          <w:rFonts w:eastAsia="Calibri"/>
        </w:rPr>
      </w:pPr>
      <w:r w:rsidRPr="00A4268A">
        <w:rPr>
          <w:rFonts w:eastAsia="Calibri"/>
        </w:rPr>
        <w:t>A comprehensive orientation programme is implemented, providing new staff with relevant information for safe work practice.  There is a well-developed education programme in place that is supported from the head office.  This includes training packages for all levels of nursing staff.  External training is supported.</w:t>
      </w:r>
    </w:p>
    <w:p w:rsidRPr="00A4268A">
      <w:pPr>
        <w:spacing w:before="240" w:line="276" w:lineRule="auto"/>
        <w:rPr>
          <w:rFonts w:eastAsia="Calibri"/>
        </w:rPr>
      </w:pPr>
      <w:r w:rsidRPr="00A4268A">
        <w:rPr>
          <w:rFonts w:eastAsia="Calibri"/>
        </w:rPr>
        <w:t>Appropriate employment processes are adhered to and all employees have an annual staff appraisal completed.  There is a roster that provides sufficient and appropriate coverage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the assessments, development and review of care plans within the required timeframes.  Assessments are linked into the comprehensive care plan.  Residents and a relative interviewed confirmed they were involved in the care planning and multi-disciplinary review process.  The general practitioner reviews residents at least three monthly or more frequently if needed.    </w:t>
      </w:r>
    </w:p>
    <w:p w:rsidRPr="00A4268A" w:rsidP="00621629">
      <w:pPr>
        <w:spacing w:before="240" w:line="276" w:lineRule="auto"/>
        <w:rPr>
          <w:rFonts w:eastAsia="Calibri"/>
        </w:rPr>
      </w:pPr>
      <w:r w:rsidRPr="00A4268A">
        <w:rPr>
          <w:rFonts w:eastAsia="Calibri"/>
        </w:rPr>
        <w:t xml:space="preserve">The activity team develop a programme to meet the recreational needs and preferences of each consumer group.  There is a flexible and resident-focused activity plan over seven days a week in the dementia units and rest home/hospital unit.  Individual 24-hour care plans and activity care plans are developed in consultation with resident/family.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w:t>
      </w:r>
    </w:p>
    <w:p w:rsidRPr="00A4268A" w:rsidP="00621629">
      <w:pPr>
        <w:spacing w:before="240" w:line="276" w:lineRule="auto"/>
        <w:rPr>
          <w:rFonts w:eastAsia="Calibri"/>
        </w:rPr>
      </w:pPr>
      <w:r w:rsidRPr="00A4268A">
        <w:rPr>
          <w:rFonts w:eastAsia="Calibri"/>
        </w:rPr>
        <w:t>Meals are prepared on site by experienced trained cooks.  The menu is varied and appropriate.  Individual and special dietary needs are catered for.  Residents and relative interviewed were complimentary about the food service.  The menu is reviewed by the organisational dietitian.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Millvale Lodge Lindale has a current building warrant of fitness.  There is an approved fire evacuation plan.  Fire evacuations have been undertaken six monthly.  Electrical testing has been completed as required.  Residents can freely mobilise within the communal areas with safe access to the outdoors, seating and shade. </w:t>
      </w:r>
    </w:p>
    <w:p w:rsidRPr="00A4268A">
      <w:pPr>
        <w:spacing w:before="240" w:line="276" w:lineRule="auto"/>
        <w:rPr>
          <w:rFonts w:eastAsia="Calibri"/>
        </w:rPr>
      </w:pPr>
      <w:r w:rsidRPr="00A4268A">
        <w:rPr>
          <w:rFonts w:eastAsia="Calibri"/>
        </w:rPr>
        <w:t xml:space="preserve">Care is provided in separate ‘homes’ within the building.  Each home has easy access to their external gardens and paths.  Residents in the dementia ‘homes’ are able to move freely inside and within their separate secure environments.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Millvale Lodge Lindale has restraint minimisation and safe practice policies and procedures in place.  Staff receive training in restraint minimisation.  At the time of the audit there were no residents using restraints or utilising enablers.  A register is maintained by the restraint coordinator/RN.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engages in benchmarking with other Dementia Care NZ (DCNZ)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complaints forms available.  Information about complaints is provided on admission.  Interview with residents, relatives and staff demonstrated an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Six complaints from January 2018 to date were reviewed.  All complaints reviewed had documented evidence of appropriate follow-up actions and resolutions taken.  Timeframes for addressing each complaint are compliant with the Health and Disability Commissioner (HDC) guidelines and corrective actions (when required)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 confirmed that any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(one rest home and one hospital) interviewed and six relatives (two dementia and four hospital) stated they were welcomed on entry and were given time and explanation about the services and procedures.  Family were very complimentary around communication regarding changes in their family members health status.  Residents and relatives receive newsletters that keep them informed on facility matters and upcoming events.  Accident/incidents, complaints procedures and the policy and process around open disclosure alerts staff to their responsibility to notify family/next of kin of any accident/incident and ensure full and frank open disclosure occurs.  The accident/incident form includes a section to record family notification.  All ten incident forms reviewed evidenced family had been notified.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New Zealand Limited (DCNZ) is the parent company for Millvale Lodge Lindale.  Millvale Lodge Lindale provides rest home, hospital (geriatric) and dementia level care for up to 44 residents.  Three rooms have been decommissioned since the last audit and are involved in a building extension.  There are 20 dual purpose beds in the rest home/hospital home.  There are two dementia care units, one with nine beds and the other with fifteen beds.  On the day of audit there were 42 residents in total; seven rest home residents including one resident on a long-term support chronic health condition (LTS-CHC) contract, twelve hospital residents including one on an LTS-CHC contract, and 23 dementia level of care residents, including one on an LTS-CHC contract.  All other residents were under the age-related residential care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operations manager and a clinical manager/RN are responsible for the daily clinical and non-clinical operations of the facility.  The operations manager has been in the role for three years.  The clinical manager has been in the role for just under three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organisational operations management leader, national clinical manager, quality systems manager, company clinical advisor, company educator/psychiatric RN and managing directors regularly visit the facility and provide support to the team at Millvale Lodge Lindale.  During the days of the audit a managing director was present.  The vision and values of the organisation underpin the philosophy of the service.  The philosophy of the service also includes providing safe and therapeutic care for residents with dementia that enhances their quality of life and minimises risks associated with their confused states.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 strategic plan for Millvale Lodge Lindale and a business plan for 2018-2019 in place for all facilities.  The 2019 organisational goals have been reviewed by the governance team, company directors, clinical director, national clinical manager, quality systems manager, operations management leader and company educator.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holds an annual training day for all operations managers and all clinical managers.  The operations manager and clinical manager have attended at least eight hours of training relevant to their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Care NZ (DCNZ) has policies and procedures to support service delivery.  A document control policy outlines the system implemented whereby all policies and procedures are reviewed regularly.  Millvale Lodge Lindale is implementing an organisational wide quality and risk management plan.  Progress with the quality and risk management plan is monitored through the monthly quality meetings.  The operations manager and clinical manager log and monitor all quality data.  There are designated roles including (but not limited to), a resident event analysis nurse, an infection control nurse, a falls coordinator and a behaviour analysis coordinator which support quality analysis.  Data is collected on complaints, accidents, incidents, infection control and restraint use.  Benchmarking with other DCNZ facilities occurs on data collected.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is implemented with quality improvements logged wherever compliance is not fully attained.  The quality improvement log is reviewed at quality meetings and signed off by management once completed.  An annual satisfaction survey from 2018 identified overall satisfaction.  Opportunities for improvement from survey comments were discussed at quality meetings and added to the quality improvement log.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(QI) reports are provided at the monthly quality meeting.  Meeting minutes are maintained and include actions to achieve compliance where relevant.  A comprehensive monthly operations quality bulletin is distributed and available to all staff.  Staff interviewed confirmed involvement and feedback around the quality management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quality data such as incident/accident, infection control, restraint, internal audits, concerns and complaints are discussed at staff, activity, clinical, infection control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implemented health and safety management system.  There are risk management, and health and safety policies and procedures and annual objectives in place including accident and hazard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assessment of risk, medication review, assessments with physiotherapy input, exercises/physical activities, training for staff on detection of falls risk and environmental hazard awareness.  There is monthly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Accidents and near misses are investigated by the resident event analysis nurse and clinical manager and analysis of incident trends occurs.  There is a discussion of incidents/accidents at monthly quality meetings including actions to minimise recurrence.  Clinical follow-up of residents is conducted by a registered nurse as evidenced in the 10 incident forms sampled.  Neurological observations were fully completed where indicated.  Discussions with the clinical manager and operations manager confirmed that there is an awareness of the requirement to notify relevant authorities in relation to essential notifications.  One section 31 notification was completed since the last audit.  The notification was for resident with an unstageable pressure injury in May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includes that the recruitment and staff selection process requires that relevant checks are completed to validate the individual’s qualifications, experience and veracity.  A copy of practising certificates is kept.  Annual performance appraisals are completed.  Six staff files were reviewed (one clinical manager, one registered nurse, one cook, one activity coordinator and two caregivers).  All evidenced that reference checks are completed before employment is offered.  The service has a comprehensive orientation programme in place that provides new staff with relevant information for safe work practice.  Staff interviewed believed new staff were adequately orientated to the service on employment.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plan for 2018 has been completed and the 2019 planner is being implemented.  Education is provided by on site sessions and skype sessions.  There are six RNs (including one casual RN) and one has completed interRAI training.  The clinical manager has also completed interRAI training.  Due to a high RN turnover, the service has found it difficult to ensure there are sufficient interRAI trained staff.  Clinical staff complete competencies relevant to their role.  There are 18 caregivers employed across the dementia units.  Fifteen have completed the required dementia unit standards.  Three caregivers are in the process of completing and all have been employed for less than 18 months.  There is at least one staff member on duty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 operations manager and the clinical manager are on site full time and available for on call after hours.  There is also a registered nurse on duty 24/7 in the dual-service Nikau hospital/rest home unit.  The two dementia units (Toetoe and Tanika) are managed on a day-to-day basis by senior caregivers.  They are supported by the RNs on each shift in the hospital and the clinical manager.  Adequate numbers of caregivers are rostered.  The caregivers and family interviewed informed there are sufficient staff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20-bed dual-purpose unit (seven rest home and twelve hospital residents), there are three caregivers (two long and one short shift) and a short shift home assistant rostered on the morning shift, three caregivers (one long and two short shifts) and a short shift home assistant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15-bed dementia unit (14 residents), there are two caregivers (long shift) and a short shift home assistant rostered on the morning shift, two caregivers (one long and one short-shift) and a short shift home assistant on the afternoon shift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nine-bed dementia unit (nine residents), there are two caregivers (one long and one short-shift) rostered on the morning shift, two caregivers (one long and one short-shift) on the afternoon shift and one home assistant on the night shift.  Extra staff are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programme is implemented seven days a week with six hours per day in the dual-purpose unit and three hours per afternoon in each of the dementia units.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policies and procedures comply with medication legislation and guidelines.  Medicines are stored safely.  The service uses an electronic medications system.  Medication audits evidence that medication administration practice complies with the medication chart.  Robotic medication rolls are checked on delivery by the RN on duty.  All impress stock and ‘as required’ mediations are checked regularly for expiry dates.  Eye drops are dated on opening.  Standing orders are in use and comply with medication legislation and guidelines.  There were no residents self-medicating on the day of audit.  The medication fridge temperature is monitored daily.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administer medications in the hospital/rest home and senior caregivers administer medications in the dementia units.  All those administering medications have completed an annual competency and education.  There is a main locked medication room in the hospital/rest home where all pharmaceuticals are kept.  Medication trolleys for the dementia care ‘homes’ are kept in a locked area.  Ten medication charts on the electronic medication system were reviewed.  All charts met prescribing requirements including the indication for use of ‘as required’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done on site by a full-time qualified chef five days per week and a second cook that covers the chef’s days off. There is a verified food control plan in place. The four-weekly organisational seasonal menu has been reviewed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receives resident dietary profiles for all residents and notified of any changes such as weight loss.  Resident dislikes are known, and alternative foods are offered.  Modified diets including pureed meals and fortified foods are provided.  All meals are prepared in the main kitchen and transported in hot box containers to the individual units’ kitchenettes for serving by the care staff.  Hot food temperatures and serving temperatures are monitored daily.  Cultural and spiritual needs are met.  Lip plates and specialised utensils are available as needed to promote independence at mealtimes.  All food sighted in the chiller, freezers and fridges was dated.  There is daily fridge and freezer temperature monitoring.  There are additional nutritional snacks available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staff have completed food safety training.  There is special equipment available for residents if required.  All food is stored appropriately.  Residents interviewed were very satisfied with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health changes, the RN initiates a medical visit by the GP or nurse specialist review such as referral to physiotherapist or wound nurse.  Short-term care plans are developed to meet the short-term needs and supports of the residents.  Changes to a resident’s health is communicated to staff on duty and at handovers to oncoming staff.  There is documented evidence of relatives being kept informed on the resident health status form including: (but not limited to) GP visits, infections and medications.  Relatives and residents interviewed stated resident needs are being met.  Interviews with the registered nurses and caregivers demonstrated an understanding of the individualised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clinical supplies including dressing products.  Resident files include a continence assessment and plan.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monitoring and wound management evaluation plans are in place for five residents with wounds including one resident with a stage 2 pressure injury.  A referral has been made to a wound specialist.  All wounds have an individual assessment, plan and reviews. </w:t>
            </w:r>
          </w:p>
          <w:p w:rsidR="00EB7645" w:rsidRPr="00BE00C7" w:rsidP="00BE00C7">
            <w:pPr>
              <w:pStyle w:val="OutcomeDescription"/>
              <w:spacing w:before="120" w:after="120"/>
              <w:rPr>
                <w:rFonts w:cs="Arial"/>
                <w:b w:val="0"/>
                <w:lang w:eastAsia="en-NZ"/>
              </w:rPr>
            </w:pPr>
            <w:r w:rsidRPr="00BE00C7">
              <w:rPr>
                <w:rFonts w:cs="Arial"/>
                <w:b w:val="0"/>
                <w:lang w:eastAsia="en-NZ"/>
              </w:rPr>
              <w:t>Pain assessments are completed for all residents with identified pain and on pain relief.  Monitoring forms in use included behaviour monitoring, blood sugar levels, neurological observations (always fully completed) and vital signs.  The previous partial attainment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Lodge Lindale employs four activity staff that provide an activities programme in both the rest home/hospital and the dementia units.  The programme in the hospital and rest home unit runs 10.00 am to 4.30 pm seven days a week.  The programme in the two dementia units totals nine hours a day over seven days.  One of the four is a qualified diversional therapist and two of the other three are completing their training.  All four have completed dementia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reflect ordinary patterns of life and include planned visits to the community, picnic outings and park visits.  Community visitors include Irish dancers, guest speakers from the RSA, Alzheimer’s society, school children and pet owners.  Varying activities occur simultaneously in both dementia units focusing on sensory activities.  The rest home/hospital programme reflects resident interests, abilities and skills and includes entertainment, exercises, craft activities, happy hour, news and views.  Residents from the dementia units are invited to attend entertainment held in the rest home/hospital ‘home’ with adequate supervision.  Activities staff use the facility van twice per week.  All activities staff have current first aid certificates.  Each resident is free to choose whether they wish to participate in the group activities programme.  There is allocated one-on-one time for residents who choose not to or are unable to participate in group activities.  Church services are held every Wednesday and Sunday.  Community church and youth groups visit.  </w:t>
            </w:r>
          </w:p>
          <w:p w:rsidR="00EB7645" w:rsidRPr="00BE00C7" w:rsidP="00BE00C7">
            <w:pPr>
              <w:pStyle w:val="OutcomeDescription"/>
              <w:spacing w:before="120" w:after="120"/>
              <w:rPr>
                <w:rFonts w:cs="Arial"/>
                <w:b w:val="0"/>
                <w:lang w:eastAsia="en-NZ"/>
              </w:rPr>
            </w:pPr>
            <w:r w:rsidRPr="00BE00C7">
              <w:rPr>
                <w:rFonts w:cs="Arial"/>
                <w:b w:val="0"/>
                <w:lang w:eastAsia="en-NZ"/>
              </w:rPr>
              <w:t>Activity assessments, activity plans, 24-hour MDT plans, progress notes and attendance charts are maintained.  Resident meetings are held monthly.  There are regular MDT family meetings.  Resident files reviewed identified that the individual activity plan is reviewed at the same time as the care plan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had been evaluated by the registered nurses within three weeks of admission.  The long-term care plans are evaluated at least six monthly or earlier if indicated for health changes.  There is at least a three-monthly review by the GP.  Written evaluations record the residents’ progress against the resident goals.  Short-term care plans reviewed were evaluated and resolved or added to the long-term care plan if the problem is ongoing as sighted in resident files reviewed.  Multi-disciplinary meetings with evidence of family, allied health, care staff, RNs, activities and GP involvement are held at least six monthly in resident files reviewed.  Ongoing nursing evaluations occur daily/as indicated and are included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Millvale Lodge Lindale has a current building warrant of fitness that expires on 16 May 2020.  The facility is divided into three ‘homes’ which are Nikau (20 rest home/hospital beds), Tanika (nine dementia care beds) and Toetoe (15 dementia care beds).  The three ‘homes’ are spacious with wide corridors that allow for the use of mobility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maintenance man is based at Millvale and manages/ensures reactive and planned maintenance are addressed.  Maintenance requests are logged into a maintenance book kept in the nurse’s station and signed off when completed.  External contractors carry out larger repairs and they are available 24/7 for essential services.  </w:t>
              <w:br/>
              <w:t xml:space="preserve">Electrical equipment operates through RCD and clinical equipment has been serviced/calibrated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‘home’ has its separate outdoor deck and large, landscaped garden area with safe access.  There is seating and shade provided over the summer months.  A children’s playground is available for visiting families.  There is a rural outlook from each ‘home’ and gardens are designed for interest and to attract residents, especially those with dementia.  They include a number of paths and raised gardens for residents to access.  The gardens in the dementia ‘homes’ are safe and are secured.  Each ‘home’ has a large open plan lounge area designed so that space and seating arrangements provide for individual and group activities.  There are quiet, low stimulus areas and seating alcoves that provide privacy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two dementia-level ‘homes’ have secure access.  They are adjacent to each other and the door between can be opened for residents to join for activities or other events/occasions.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described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 register and the infection prevention and control nurse completes a monthly report.  Monthly data is reported to the infection prevention and control, clinical and quality meetings.  Staff are informed through the variety of meetings held at Millvale Lodge and the monthly operations quality bulletin.  The infection prevention and control programme links with the quality programme.  The infection prevention and control officer uses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Benchmarking occurs against other Dementia Care New Zealand facilities.  The service is continuing to work on continuous improvements around the management of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are congruent with the definitions in NZS 8134.0.  Interviews with the caregivers and nursing staff confirmed their understanding of restraints and enablers.  At the time of the audit there were no residents using restraints or utilising enablers.  A register is maintained by the restraint coordinator/RN.  Education is provided on restraint minimisation and managing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09"/>
        <w:gridCol w:w="1280"/>
        <w:gridCol w:w="4180"/>
        <w:gridCol w:w="47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monitoring system includes analysis of trends for all types of infections.  The infection control manager, alongside the registered nurses are continually reviewing any trends identified in surveillance analysis and when trends are identified, plans are developed to address these.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Millvale Lodge Lindale has been successful in continuing to implement strategies to minimise urinary tract infection.  In mid-2018, the service extended surveillance to identify and communicate oral health infections.</w:t>
            </w:r>
          </w:p>
          <w:p w:rsidR="00EB7645" w:rsidRPr="00BE00C7" w:rsidP="00BE00C7">
            <w:pPr>
              <w:pStyle w:val="OutcomeDescription"/>
              <w:spacing w:before="120" w:after="120"/>
              <w:rPr>
                <w:rFonts w:cs="Arial"/>
                <w:b w:val="0"/>
                <w:lang w:eastAsia="en-NZ"/>
              </w:rPr>
            </w:pPr>
            <w:r w:rsidRPr="00BE00C7">
              <w:rPr>
                <w:rFonts w:cs="Arial"/>
                <w:b w:val="0"/>
                <w:lang w:eastAsia="en-NZ"/>
              </w:rPr>
              <w:t>Strategies implemented included updating of care plans to guide practise around oral health and communication of all strategies to staff.  The challenges involved in oral health were discussed and specific plans of action including identified cleaning agents were published.  Caregivers practise around oral health was closely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these additional interventions, there has been a zero rate of oral infections in 2019 YTD.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Millvale Lodge Lindale Limited - Millvale Lodge Lindale</w:t>
    </w:r>
    <w:bookmarkEnd w:id="58"/>
    <w:r>
      <w:rPr>
        <w:rFonts w:cs="Arial"/>
        <w:sz w:val="16"/>
        <w:szCs w:val="20"/>
      </w:rPr>
      <w:tab/>
      <w:t xml:space="preserve">Date of Audit: </w:t>
    </w:r>
    <w:bookmarkStart w:id="59" w:name="AuditStartDate1"/>
    <w:r>
      <w:rPr>
        <w:rFonts w:cs="Arial"/>
        <w:sz w:val="16"/>
        <w:szCs w:val="20"/>
      </w:rPr>
      <w:t>6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