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Highfield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June 2019</w:t>
      </w:r>
      <w:bookmarkEnd w:id="7"/>
      <w:r w:rsidRPr="009418D4">
        <w:rPr>
          <w:rFonts w:cs="Arial"/>
        </w:rPr>
        <w:tab/>
        <w:t xml:space="preserve">End date: </w:t>
      </w:r>
      <w:bookmarkStart w:id="8" w:name="AuditEndDate"/>
      <w:r w:rsidR="00A4268A">
        <w:rPr>
          <w:rFonts w:cs="Arial"/>
        </w:rPr>
        <w:t>25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has changed its name from CHT Highfield to CHT Te Awamutu</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CHT Te Awamutu Home and Hospital is part of the CHT group of facilities (originally named CHT Highfield).  The facility is purpose-built, providing three levels of care (hospital – geriatric/medical, rest home and dementia) for up to 60 residents.  On the day of audit there were 58 residents.  The residents and relatives spoke positively about the care provided.</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facility manager is a registered nurse who was previously the clinical manager and works full time.  She has been in the position for a month.  She is supported by a clinical coordinator and a supportive regional manager.</w:t>
      </w:r>
    </w:p>
    <w:p w:rsidRPr="00A4268A">
      <w:pPr>
        <w:spacing w:before="240" w:line="276" w:lineRule="auto"/>
        <w:rPr>
          <w:rFonts w:eastAsia="Calibri"/>
        </w:rPr>
      </w:pPr>
      <w:r w:rsidRPr="00A4268A">
        <w:rPr>
          <w:rFonts w:eastAsia="Calibri"/>
        </w:rPr>
        <w:t xml:space="preserve">The service has an established quality and risk management system.  Residents, families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One of the two shortfalls identified as part of the previous audit has been addressed.  This was around care plan interventions.  The previous shortfall around implementation of care continues.  This audit has identified one additional area requiring improvement around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There is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viewed demonstrate service integration and are reviewed at least six 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caregivers responsible for the administration of medicines complete education and medication competencies.  Medication charts are reviewed three monthly by the general practitioner.</w:t>
      </w:r>
    </w:p>
    <w:p w:rsidRPr="00A4268A" w:rsidP="00621629">
      <w:pPr>
        <w:spacing w:before="240" w:line="276" w:lineRule="auto"/>
        <w:rPr>
          <w:rFonts w:eastAsia="Calibri"/>
        </w:rPr>
      </w:pPr>
      <w:r w:rsidRPr="00A4268A">
        <w:rPr>
          <w:rFonts w:eastAsia="Calibri"/>
        </w:rPr>
        <w:t>The activities coordinator and staff implement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All internal and external areas are safe and well maintained.  Fixtures, fittings and flooring are appropriate.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on safe restraint use and enablers.  A registered nurse/quality and risk coordinator is the restraint coordinator.  On the day of the audit, there was one resident with restraints in use and no residents with enablers.  Staff receive training around restraint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(RN) is responsible for coordinating education and training for staff.  The infection control coordinator has completed annual external training.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policy/procedure in place and the complaints process is provided to residents and relatives on entry to the service, complaints forms are available to residents and relatives.  A record of all complaints is maintained on the on-line complaint register.  Paper-based copies of all complaints are held on file.  The facility manager manages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complaints recorded.  The complaints/concerns have been managed in line with Right 10 of the Code.  A review of complaints documentation evidenced resolution of the complaints to the satisfaction of the complainants.  Residents (one rest home and three hospital) and family members advised that they are aware of the complaint’s procedure.  Discussion around concerns, complaints and compliments are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facility manager and clinical coordinator confirmed family are kept informed.  Accident/incident forms reviewed document that relatives have been notified of the incident.  Relatives (four hospital and two with family in the secure unit) stated they are notified promptly of any incidents/accidents.  Residents/relatives have the opportunity to feedback on service delivery through annual surveys and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encourage open discussion around the services provided (meeting minutes sighted).  Residents and relatives receive newsletters.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is not covered by the agreement.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Te Awamutu Home and Hospital is part of the CHT group of facilities.  The service has very recently changed its name from CHT Highfield to CHT Te Awamutu.  HealthCERT have been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a purpose-built facility providing three levels of care (hospital – geriatric/medical, rest home and dementia) for up to 60 residents.  On the day of audit there were 58 residents.  There were 30 hospital and 9 rest home level residents in the 40-bed dual-purpose unit and 19 residents in the 20-bed secure dementia unit.  All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plan, which is reviewed annually.  The business plan identifies the purpose, values and scope of the business.  There are quality goals, which have been reviewed regularly and key performance indicators to measure service performance against goals.  The facility manager has been in the role for a month and was the clinical coordinator prior to this role.  The manager is supported by a clinical coordinator (registered nurse), with a background in aged care.  An area manager with significant experience in elderly care provides oversight and support for the new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completed at least eight hours of professional development.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Te Awamutu continues to implement the CHT quality and risk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implemented to provide assurance that the service is meeting accepted good practice and adhering to relevant standards - including those standards relating to the Health and Disability Services (Safety) Act 2001.  Staff (three healthcare assistants, one registered nurse, one cook, one diversional therapist and the head cook) confirmed they are made aware of any new/reviewed policies.  There are sufficient clinical policies/procedures to support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The area manager and facility manager meet weekly to discuss quality data, and service and operational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implement quality teams to act as champions for specific areas such as; weight management, falls minimisation, wound care, restraint, infection control and continence.  Staff interviewed (three registered nurses, three healthcare assistants, a cook, activities person and maintenance person) were either part of, or aware of the quality teams. </w:t>
            </w:r>
          </w:p>
          <w:p w:rsidR="00EB7645" w:rsidRPr="00BE00C7" w:rsidP="00BE00C7">
            <w:pPr>
              <w:pStyle w:val="OutcomeDescription"/>
              <w:spacing w:before="120" w:after="120"/>
              <w:rPr>
                <w:rFonts w:cs="Arial"/>
                <w:b w:val="0"/>
                <w:lang w:eastAsia="en-NZ"/>
              </w:rPr>
            </w:pPr>
            <w:r w:rsidRPr="00BE00C7">
              <w:rPr>
                <w:rFonts w:cs="Arial"/>
                <w:b w:val="0"/>
                <w:lang w:eastAsia="en-NZ"/>
              </w:rPr>
              <w:t>The service enters all quality, accident/incident and infection control data onto a software data base.  Monthly collation includes data comparison and trends.  These are reviewed by head office and the service.</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held include: monthly staff meetings, monthly RN/ quality meetings and unit meetings.  Staff focus meetings were also documented as needed.  Meetings minutes sighted evidenced there is discussion around quality data including complaints, compliments, health and safety, accident/incident, infection control, internal audits and survey results.  The staff interviewed were aware of quality data results, trends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The area manager undertakes six monthly full-service internal audits that covers all aspects of the service and aligns with the requirements of the Health and Disability Services (Safety) Act 2001.  Corrective actions are developed, implemented and signed off.  Additional audits are also documented such as; wound care audits, restraint audits and care plan audits.  The service has also implemented monthly medication audits.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the computer software, which are collated monthly and are discussed at the staff meetings,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healthcare assistants interviewed could discuss the incident reporting process.  The clinical coordinator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interviewed, could describe situations that would require reporting to relevant authorities.  There have been no reports to the Ministry of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(two RNs and three HCAs).  All files contained relevant employment documentation including orientations.  Three HCAs interviewed all agreed that they had received a comprehensive education.  Training records document that all compulsory training has been provided, with good staff attendance.  Registered nurses and healthcare assistants have access to external training, which includes clinical education relevant to medical conditions such as the palliative care course.  Four RNs are interRAI competent.  Staff complete competencies relevant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Of the nine caregivers working in the dementia unit, six have completed the dementia unit standards, and three are in the process, these three have been employed less than 18 months.  All RNs have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is in place to determine staffing levels and skill mixes for safe service delivery.  There is a roster that provides sufficient and appropriate coverage for the effective delivery of care and support.  The manager and assistant clinical coordinator are on duty during the day Monday to Friday.  Both share the on-call requirement for clinical concerns.  </w:t>
            </w:r>
          </w:p>
          <w:p w:rsidR="00EB7645" w:rsidRPr="00BE00C7" w:rsidP="00BE00C7">
            <w:pPr>
              <w:pStyle w:val="OutcomeDescription"/>
              <w:spacing w:before="120" w:after="120"/>
              <w:rPr>
                <w:rFonts w:cs="Arial"/>
                <w:b w:val="0"/>
                <w:lang w:eastAsia="en-NZ"/>
              </w:rPr>
            </w:pPr>
            <w:r w:rsidRPr="00BE00C7">
              <w:rPr>
                <w:rFonts w:cs="Arial"/>
                <w:b w:val="0"/>
                <w:lang w:eastAsia="en-NZ"/>
              </w:rPr>
              <w:t>The RN cover is provided for an RN for each shift, seven days a week, plus an additional RN from midday to 8.00 pm.</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are staffed according to units;</w:t>
            </w:r>
          </w:p>
          <w:p w:rsidR="00EB7645" w:rsidRPr="00BE00C7" w:rsidP="00BE00C7">
            <w:pPr>
              <w:pStyle w:val="OutcomeDescription"/>
              <w:spacing w:before="120" w:after="120"/>
              <w:rPr>
                <w:rFonts w:cs="Arial"/>
                <w:b w:val="0"/>
                <w:lang w:eastAsia="en-NZ"/>
              </w:rPr>
            </w:pPr>
            <w:r w:rsidRPr="00BE00C7">
              <w:rPr>
                <w:rFonts w:cs="Arial"/>
                <w:b w:val="0"/>
                <w:lang w:eastAsia="en-NZ"/>
              </w:rPr>
              <w:t>There are four wings; Koru one has seven hospital and three rest home residents, Koru two has eight hospital and one rest home resident, Mana three has seven hospital and three rest home residents and Mana four has eight hospital and two rest home residents.  Each wing has the same staffing of; AM one long and one short shift, PM one long and one short shift.  There are two healthcare assistants over the four wings at night.</w:t>
            </w:r>
          </w:p>
          <w:p w:rsidR="00EB7645" w:rsidRPr="00BE00C7" w:rsidP="00BE00C7">
            <w:pPr>
              <w:pStyle w:val="OutcomeDescription"/>
              <w:spacing w:before="120" w:after="120"/>
              <w:rPr>
                <w:rFonts w:cs="Arial"/>
                <w:b w:val="0"/>
                <w:lang w:eastAsia="en-NZ"/>
              </w:rPr>
            </w:pPr>
            <w:r w:rsidRPr="00BE00C7">
              <w:rPr>
                <w:rFonts w:cs="Arial"/>
                <w:b w:val="0"/>
                <w:lang w:eastAsia="en-NZ"/>
              </w:rPr>
              <w:t>Dementia (two wings; 19 residents) the clinical coordinator assists in the AM and undertakes the medication rounds.  For the AM and the PM each has one long-shift and one short-shift HCA and one HCA for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A review of rosters evidences that unplanned leave is covered.  HCA interviewed stated that management work very hard to cover all shifts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are adequate staff on duty at all times.  Staff stated they feel supported by the management team who respond quickly to afterhours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There were no residents self-administering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four-week robotic sachets system.  Medications are checked on arrival and any pharmacy errors recorded and fed back to the supplying pharmacy.  Registered nurses administer medications in the hospital, rest home and dementia care unit.  Medication competencies are updated annually, and staff attend annual education.  Registered nurses have syringe driver training completed by the hospice.  The medication fridge temperature is checked daily.  In the dementia unit, not all medication was identified with the resident’s name and one resident was documented has having been given covert medication.  This was not documented in the care plan, and there was no evidence of GP approval or family consultation.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use an electronic medication management system and sign for the administration of medications.  Ten medication charts were reviewed.  Medications have been reviewed at least three monthly by the GP.  Photo ID and allergy status are recorded.  ‘As required’ medications have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cooked on site.  The kitchen unit manager oversees the procurement of the food and management of the kitchen.  The kitchen was observed to be clean and well organised and a food control plan approved (expiring April 2020).  Special equipment such as lipped plates is available.  On the day of audit, meals were observed to be well presented.  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are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are noted on a kitchen whiteboard.  The four-weekly seasonal menu cycle is written and approved by an external dietitian.  All resident/families interviewed are happy with the meals.  Additional snacks are available at all times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five resident files reviewed identified that care plans were resident-focussed, and most care interventions were included as part of the plan.  Care plans reviewed evidence multidisciplinary involvement in the care of the resident.  The documentation of blood sugar monitoring, including upper and lower limits, care interventions for constipation and the risks associated with restraint were documented as required in the care plans reviewed.  This is an improvement from the previous audit, however the care and management of behaviours that challenge was not well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(STCPs) are in use for changes in health status.  STCPs reviewed had been evaluated on a regular basis and signed off as resolved or transferred to the long-term care plan if an ongoing problem.  There is evidence of service integration with documented input from a range of specialist care professionals including: the podiatrist, physiotherapist, dietitian and mental health care team for older people.  The care staff advised that the care plans are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nurse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Wounds included; one pressure injury, ulcers and skin tears.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All monitoring requirements including neurological observations had been documented as required.  This is an improvement from the previous audit.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who covers five days a week who leads all activities, with caregivers providing some of the activities.  The dementia unit has a dedicated activities programme which is facilitated by the activity coordinator and caregivers.  The dementia unit residents can also join in the hospital and rest home activities.  On the days of audit residents were observed participating in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in which to participate.  These include (but are not limited to) exercises, walks outside, crafts, games, quizzes, sausage sizzles, the stroke club, inter-home games and bingo.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van outings and the service hire a van as needed.  There are regular entertainers visiting the facility.  Special events like birthdays, Easter, Mothers’ Day and Anzac Day are celebrated.  There are visiting community groups such as choirs and children’s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Files sampled demonstrated that the long-term nursing care plan has been evaluated at least six-monthly or earlier if there was a change in health status.  There was at least a three-monthly review by the GP.  Short-term care plans sighted were evaluated and resolved or added to the long-term care plan if the problem is ongoing, as sighted in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May 2020.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All hoists and scales have been checked and tagged.  Hot water temperatures have been monitored randomly in resident areas and are within the acceptable range.  The communal lounges and hallways are carpeted.  The utility areas such as the kitchen, laundry and sluice rooms have vinyl flooring.  Residents’ rooms are carpeted and ensuites and communal showers and toilets have nonslip vinyl flooring.  All halls have safety rails and promote safe mobility with the use of mobility aids.  Residents were observed moving freely around the areas with mobility aids where required.  The external areas, courtyards and gardens are well maintained.  All courtyards have attractive features and are easily accessible to residents.  The dementia unit has a walking pathway, gardens and raised garden beds.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Infection control data is monitored and evaluated monthly and annually.  Trends and analysis of infection events, outcomes and actions are discussed at the combined quality/health and safety and infection control meetings.  Results from laboratory tests are available monthly.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On the day of the audit there was one resident with restraints in use (lap belts and a fall out chair) and no enablers in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38"/>
        <w:gridCol w:w="1280"/>
        <w:gridCol w:w="3930"/>
        <w:gridCol w:w="3459"/>
        <w:gridCol w:w="15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in place to guide staff around the safe management, prescribing and administration of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medications in the dementia unit were labelled with the resident’s name.</w:t>
            </w:r>
          </w:p>
          <w:p w:rsidR="00EB7645" w:rsidRPr="00BE00C7" w:rsidP="00BE00C7">
            <w:pPr>
              <w:pStyle w:val="OutcomeDescription"/>
              <w:spacing w:before="120" w:after="120"/>
              <w:rPr>
                <w:rFonts w:cs="Arial"/>
                <w:b w:val="0"/>
                <w:lang w:eastAsia="en-NZ"/>
              </w:rPr>
            </w:pPr>
            <w:r w:rsidRPr="00BE00C7">
              <w:rPr>
                <w:rFonts w:cs="Arial"/>
                <w:b w:val="0"/>
                <w:lang w:eastAsia="en-NZ"/>
              </w:rPr>
              <w:t>(ii). The progress notes for one resident in the dementia unit documented that covert medications were given.  There was no documented GP approval or family/EPOA consultation.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resident’s medication is clearly labelled with their name.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medication administration complies with the Code of Rights.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 files were reviewed; two hospital level, two dementia care and one rest home.  All residents had a care plan documented.  Staff interviewed were knowledgeable regarding resident care needs.  The management of behaviours that challenge was not well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hospital and one dementia level resident’s file included that the residents’ exhibited behaviours that challenge, however the strategies to manage the environment, resident triggers and management of the behaviour were not well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that all resident care plans include management strategies to manage behaviours that challenge.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Highfield Home and Hospital</w:t>
    </w:r>
    <w:bookmarkEnd w:id="58"/>
    <w:r>
      <w:rPr>
        <w:rFonts w:cs="Arial"/>
        <w:sz w:val="16"/>
        <w:szCs w:val="20"/>
      </w:rPr>
      <w:tab/>
      <w:t xml:space="preserve">Date of Audit: </w:t>
    </w:r>
    <w:bookmarkStart w:id="59" w:name="AuditStartDate1"/>
    <w:r>
      <w:rPr>
        <w:rFonts w:cs="Arial"/>
        <w:sz w:val="16"/>
        <w:szCs w:val="20"/>
      </w:rPr>
      <w:t>24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