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Healthcare Limited - Karetu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Karetu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July 2019</w:t>
      </w:r>
      <w:bookmarkEnd w:id="7"/>
      <w:r w:rsidRPr="009418D4">
        <w:rPr>
          <w:rFonts w:cs="Arial"/>
        </w:rPr>
        <w:tab/>
        <w:t xml:space="preserve">End date: </w:t>
      </w:r>
      <w:bookmarkStart w:id="8" w:name="AuditEndDate"/>
      <w:r w:rsidR="00A4268A">
        <w:rPr>
          <w:rFonts w:cs="Arial"/>
        </w:rPr>
        <w:t>19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Karetu House is owned and operated by Heritage Healthcare Limited which owns three facilities. The facility was purpose built and is privately owned.  The home provides rest home level care to a maximum of 43 occupants. The facility manager and the clinical manager were available for this audit and both are experienced in this sector. The service is unique for providing care and support to residents who require significant additional input from the community mental health services. All the residents, a family member and the general practitioner interviewed reported satisfaction for the care and services provided.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provider’s contract with the district health board. The audit process included the review of policies and procedures, the review of residents’ and staff files, observations, interviews with residents, family, management, staff and a general practitioner.  </w:t>
      </w:r>
    </w:p>
    <w:p w:rsidRPr="00A4268A">
      <w:pPr>
        <w:spacing w:before="240" w:line="276" w:lineRule="auto"/>
        <w:rPr>
          <w:rFonts w:eastAsia="Calibri"/>
        </w:rPr>
      </w:pPr>
      <w:r w:rsidRPr="00A4268A">
        <w:rPr>
          <w:rFonts w:eastAsia="Calibri"/>
        </w:rPr>
        <w:t xml:space="preserve">The manager reported there have been no changes to size or scope of the service. </w:t>
      </w:r>
    </w:p>
    <w:p w:rsidRPr="00A4268A">
      <w:pPr>
        <w:spacing w:before="240" w:line="276" w:lineRule="auto"/>
        <w:rPr>
          <w:rFonts w:eastAsia="Calibri"/>
        </w:rPr>
      </w:pPr>
      <w:r w:rsidRPr="00A4268A">
        <w:rPr>
          <w:rFonts w:eastAsia="Calibri"/>
        </w:rPr>
        <w:t>There were no areas identified as requiring improvement. One area of continuous improvement was made in relation to good practice.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Staff demonstrate knowledge, understanding and how to implement the Health and Disability Commissioner’s Code of Health and Disability Services Consumers’ Rights (the Code) into all aspects of service provision. The residents receive an information pack on admission and are informed of their rights throughout their stay at this home. Copies of the Code of Rights are displayed in poster form and are available in brochures inclusive of the Nationwide Advocacy Service information available at reception.</w:t>
      </w:r>
    </w:p>
    <w:p w:rsidRPr="00A4268A">
      <w:pPr>
        <w:spacing w:before="240" w:line="276" w:lineRule="auto"/>
        <w:rPr>
          <w:rFonts w:eastAsia="Calibri"/>
        </w:rPr>
      </w:pPr>
      <w:r w:rsidRPr="00A4268A">
        <w:rPr>
          <w:rFonts w:eastAsia="Calibri"/>
        </w:rPr>
        <w:t>Residents, family/whanau receive services that provide dignity, respect and privacy and maximise independence. Ethnic, cultural, spiritual and values and beliefs are respected. Residents who identify as Maori have their individual cultural values and beliefs included in the care plans.</w:t>
      </w:r>
    </w:p>
    <w:p w:rsidRPr="00A4268A">
      <w:pPr>
        <w:spacing w:before="240" w:line="276" w:lineRule="auto"/>
        <w:rPr>
          <w:rFonts w:eastAsia="Calibri"/>
        </w:rPr>
      </w:pPr>
      <w:r w:rsidRPr="00A4268A">
        <w:rPr>
          <w:rFonts w:eastAsia="Calibri"/>
        </w:rPr>
        <w:t>Residents have access to visitors of their choice and are supported to access community services. The service has strong links to community mental health services due to the nature of this service. Advance directives were in place where residents were competent to make own decisions.</w:t>
      </w:r>
    </w:p>
    <w:p w:rsidRPr="00A4268A">
      <w:pPr>
        <w:spacing w:before="240" w:line="276" w:lineRule="auto"/>
        <w:rPr>
          <w:rFonts w:eastAsia="Calibri"/>
        </w:rPr>
      </w:pPr>
      <w:r w:rsidRPr="00A4268A">
        <w:rPr>
          <w:rFonts w:eastAsia="Calibri"/>
        </w:rPr>
        <w:t>Evidence was observed of informed consent and open disclosure in the residents’ record reviewed. Interpreter services are accessible if required.</w:t>
      </w:r>
    </w:p>
    <w:p w:rsidRPr="00A4268A">
      <w:pPr>
        <w:spacing w:before="240" w:line="276" w:lineRule="auto"/>
        <w:rPr>
          <w:rFonts w:eastAsia="Calibri"/>
        </w:rPr>
      </w:pPr>
      <w:r w:rsidRPr="00A4268A">
        <w:rPr>
          <w:rFonts w:eastAsia="Calibri"/>
        </w:rPr>
        <w:t>The complaints management system is effective. Complaints are resolved promptly and effectively. A complaints register is maintained by the facility manager. Residents and their families were well informed about how to raise concerns. The manager advised there have been no external complaints received since the previous audit and Section 31 Notifications have been made to appropriate agencies.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organisations has well established quality and risk management systems which monitor service performance. This occurs through internal audits, analysing quality data gathered from event reporting such as incidents, restraints and infections and through resident and relative feedback. Where these activities identify that improvements are required, managers and staff determine the best course of action to resolve the matter. Any gaps in service delivery are monitored by re-auditing to test that improvement has occurred. </w:t>
      </w:r>
    </w:p>
    <w:p w:rsidRPr="00A4268A">
      <w:pPr>
        <w:spacing w:before="240" w:line="276" w:lineRule="auto"/>
        <w:rPr>
          <w:rFonts w:eastAsia="Calibri"/>
        </w:rPr>
      </w:pPr>
      <w:r w:rsidRPr="00A4268A">
        <w:rPr>
          <w:rFonts w:eastAsia="Calibri"/>
        </w:rPr>
        <w:t xml:space="preserve">All incidents and accidents are reported verbally and in written form and entered on the electronic system. These are reviewed and investigated for cause by the facility manager and the clinical manager who oversees all the clinical care in the facility. Staff act in an open and frank manner by acknowledging what has occurred and notifying senior staff, families or the GP depending on the nature of the incident as soon as practicable. The facility and clinical managers understand about essential notification reporting to appropriate agencies. </w:t>
      </w:r>
    </w:p>
    <w:p w:rsidRPr="00A4268A">
      <w:pPr>
        <w:spacing w:before="240" w:line="276" w:lineRule="auto"/>
        <w:rPr>
          <w:rFonts w:eastAsia="Calibri"/>
        </w:rPr>
      </w:pPr>
      <w:r w:rsidRPr="00A4268A">
        <w:rPr>
          <w:rFonts w:eastAsia="Calibri"/>
        </w:rPr>
        <w:t xml:space="preserve">The service recruits and manages staff using good employment practices. There is a dedicated workforce who are supported to carry out their roles by in service training and industry education in the provision of safe and appropriate care, food, cleaning and laundry services. </w:t>
      </w:r>
    </w:p>
    <w:p w:rsidRPr="00A4268A">
      <w:pPr>
        <w:spacing w:before="240" w:line="276" w:lineRule="auto"/>
        <w:rPr>
          <w:rFonts w:eastAsia="Calibri"/>
        </w:rPr>
      </w:pPr>
      <w:r w:rsidRPr="00A4268A">
        <w:rPr>
          <w:rFonts w:eastAsia="Calibri"/>
        </w:rPr>
        <w:t>The number of registered nurses, care staff and allied staff on duty for each shift meets safe staffing guidelines and the contract requirements for the level of care provided. The clinical manager and the RN are employed to oversee clinical care and to complete interRAI assessments. There is an after-hours on-call system in place.</w:t>
      </w:r>
    </w:p>
    <w:p w:rsidRPr="00A4268A">
      <w:pPr>
        <w:spacing w:before="240" w:line="276" w:lineRule="auto"/>
        <w:rPr>
          <w:rFonts w:eastAsia="Calibri"/>
        </w:rPr>
      </w:pPr>
      <w:r w:rsidRPr="00A4268A">
        <w:rPr>
          <w:rFonts w:eastAsia="Calibri"/>
        </w:rPr>
        <w:t xml:space="preserve">Residents’ information is accurately recorded, securely stored and is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manager (CM) and registered nurse (RN) are responsible for the development of care plans with input from the residents, staff and family member representatives. Care plans and assessments are developed and evaluated according to policy and contractual requirements. </w:t>
      </w:r>
    </w:p>
    <w:p w:rsidRPr="00A4268A" w:rsidP="00621629">
      <w:pPr>
        <w:spacing w:before="240" w:line="276" w:lineRule="auto"/>
        <w:rPr>
          <w:rFonts w:eastAsia="Calibri"/>
        </w:rPr>
      </w:pPr>
      <w:r w:rsidRPr="00A4268A">
        <w:rPr>
          <w:rFonts w:eastAsia="Calibri"/>
        </w:rPr>
        <w:t>Planned activities provide residents with a variety of individual and group activities. Activities reflect residents’ goals and ordinary patterns of life and maintains their links with the community. Residents and a family member expressed satisfaction with the activities programme in place.</w:t>
      </w:r>
    </w:p>
    <w:p w:rsidRPr="00A4268A" w:rsidP="00621629">
      <w:pPr>
        <w:spacing w:before="240" w:line="276" w:lineRule="auto"/>
        <w:rPr>
          <w:rFonts w:eastAsia="Calibri"/>
        </w:rPr>
      </w:pPr>
      <w:r w:rsidRPr="00A4268A">
        <w:rPr>
          <w:rFonts w:eastAsia="Calibri"/>
        </w:rPr>
        <w:t>There is a medication management system in place and medication is administered by staff with current medication competencies. All medications are reviewed by the general practitioner (GP) every three months or when required.</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Waste and hazardous materials are managed safely. The interior and exterior of the facility is well maintained. A current building warrant of fitness is on display. Medical and electrical equipment is tested and serviced regularly. Fire suppression systems are in place and checked as functional by an external contractor. Staff are trained in health and safety and managing emergencies including fire by attending trial fire evacuations. </w:t>
      </w:r>
    </w:p>
    <w:p w:rsidRPr="00A4268A">
      <w:pPr>
        <w:spacing w:before="240" w:line="276" w:lineRule="auto"/>
        <w:rPr>
          <w:rFonts w:eastAsia="Calibri"/>
        </w:rPr>
      </w:pPr>
      <w:r w:rsidRPr="00A4268A">
        <w:rPr>
          <w:rFonts w:eastAsia="Calibri"/>
        </w:rPr>
        <w:t>There is a nurse call bell system in place. Security is maintained by staff on all shifts.</w:t>
      </w:r>
    </w:p>
    <w:p w:rsidRPr="00A4268A">
      <w:pPr>
        <w:spacing w:before="240" w:line="276" w:lineRule="auto"/>
        <w:rPr>
          <w:rFonts w:eastAsia="Calibri"/>
        </w:rPr>
      </w:pPr>
      <w:r w:rsidRPr="00A4268A">
        <w:rPr>
          <w:rFonts w:eastAsia="Calibri"/>
        </w:rPr>
        <w:t xml:space="preserve">Residents bedrooms, bathrooms and communal areas used for dining and recreation are spacious and comfortable. There is a mixture of single and shared rooms with and amenities to facilitate independence. Furniture provided is suitable for the care setting. External areas are accessible, safe and provide shade and seating. </w:t>
      </w:r>
    </w:p>
    <w:p w:rsidRPr="00A4268A">
      <w:pPr>
        <w:spacing w:before="240" w:line="276" w:lineRule="auto"/>
        <w:rPr>
          <w:rFonts w:eastAsia="Calibri"/>
        </w:rPr>
      </w:pPr>
      <w:r w:rsidRPr="00A4268A">
        <w:rPr>
          <w:rFonts w:eastAsia="Calibri"/>
        </w:rPr>
        <w:t>All areas are cleaned daily. Laundry services are effective and hygienic.</w:t>
      </w:r>
    </w:p>
    <w:p w:rsidRPr="00A4268A">
      <w:pPr>
        <w:spacing w:before="240" w:line="276" w:lineRule="auto"/>
        <w:rPr>
          <w:rFonts w:eastAsia="Calibri"/>
        </w:rPr>
      </w:pPr>
      <w:r w:rsidRPr="00A4268A">
        <w:rPr>
          <w:rFonts w:eastAsia="Calibri"/>
        </w:rPr>
        <w:t>The home is maintained at a warm and comfortable temperature. All areas have opening doors and windows for ventilation.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clinical manager is the restraint coordinator. The organisation has policies and procedures that support the minimisation of restraint.  Ongoing restraint and challenging behaviour training are provided.  There were no residents using enablers nor restraint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management system are undertaken by the infection control coordinator (ICC) and aims to prevent and manage infections. The ICC is responsible for coordinating education and training of staff. The infection prevention and control programme are reviewed annually, and specialist advice is accessed when needed. Infection data is collated monthly, analysed and reported during staff meetings. The infection prevention and control surveillance and associated activities are appropriate for the size and complexity of the service. Surveillance for infection is carried out as specified in the infection prevention and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92"/>
        <w:gridCol w:w="1280"/>
        <w:gridCol w:w="96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had a good knowledge of the Code of Health and Disability Services Consumers’ Rights (the Code) and were observed demonstrating respectful communication, encouraging independence, providing options and maintaining dignity and privacy as needed.  Information on the Code is included in staff orientation and in the education programme reviewed.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reported that they are treated with respect and understood their rights. The general practitioner (GP) interviewed spoke highly of the residents being treated with respect and dignity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clinical manager (CM) and registered nurse interviewed understood the principles and practice of informed consent. Informed consent policies provide relevant information for staff. There is a generic consent form signed on admission by the resident, next of kin and/or enduring power of attorney (EPOA). There are additional specific forms for other medical procedures such as for the influenza vaccination administered annually. A copy is retained in the resident’s record. Staff were observed to obtain consent for day-to-day care. Choices were provided when developing the care plan. There is no evidence of any advance directives in the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provided with a copy of the Code which also has the information about the advocacy service. Posters and brochures are readily available related to the Nationwide Advocacy Service.  Family/guardians interviewed were aware of the advocacy service and how to access this if required. Residents have a right to have support persons of their choice. Training is provided annually to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to maintain links with their family/whanau and the community. The diversional therapist (DT) interviewed provides a programme with outings to the community. The serviced provider has links with other facilities in their group, local schools, marae and community activity services. For the under 65-year-old residents the DT ensures outings to the community are specifically relevant to the individual residents as reflected in their individual activities plans. Family interviewed stated they were able to visit at any time and felt welcomed by the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procedures meet the requirements of this standard, the provider’s contract with the DHB, and Right 10 of the Code. It also contains references to advocacy and the organisation’s quality system, resident’s rights, advocacy and resident/family meetings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complaints register and interview with the FM confirmed there have been no complaints received and managed since the previous audit. There have been no complaints received from external sources such as the Health and Disability Commissioner’s (HDC) office since the previous audit. Section 32 notices have been submitted for police investigations (non-substantiated), and one Coroners case open at the previous audit was now closed out. There is one coroner’s case which is partially closed out which remains in progress.  </w:t>
            </w:r>
          </w:p>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ensure residents and their families are advised on entry to the facility of the complaint processes and the Code. The residents and relatives interviewed demonstrated an understanding and awareness of complaint processes.  Staff attend regular education on the Code of Rights, including the complaints processes.  Review of resident meeting minutes provides evidence of discussion on the Code of Rights and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 Staff were observed to maintain privacy throughout the audit. All residents have a single room or share a room with consent. Independence is maximised as much as possible due to the nature of this service. Information on the Code and advocacy services is displayed throughout the facility and is available in poster and brochure formats and can be accessed in different languages. A list of advocates and the relevant contact details is readily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to guide staff in relation to maintaining privacy and dignity and a policy on elder abuse and neglect. The designated shared rooms have dividing curtains between the beds for visual privacy.  The facility manager (FM) is the privacy officer for the facility and deals with any concerns or complaints about privacy being breached.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Records reviewed confirmed that each residents’ individual cultural, religious and social needs, values and beliefs had been identified, documented and incorporated into their care plan. Advance directives were in place if residents were capable of making their own decisions.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policy on abuse and neglect including what to do and who to report to should there be any signs. Education is provided to staff.</w:t>
            </w:r>
          </w:p>
          <w:p w:rsidR="00EB7645" w:rsidRPr="00BE00C7" w:rsidP="00BE00C7">
            <w:pPr>
              <w:pStyle w:val="OutcomeDescription"/>
              <w:spacing w:before="120" w:after="120"/>
              <w:rPr>
                <w:rFonts w:cs="Arial"/>
                <w:b w:val="0"/>
                <w:lang w:eastAsia="en-NZ"/>
              </w:rPr>
            </w:pPr>
            <w:r w:rsidRPr="00BE00C7">
              <w:rPr>
                <w:rFonts w:cs="Arial"/>
                <w:b w:val="0"/>
                <w:lang w:eastAsia="en-NZ"/>
              </w:rPr>
              <w:t>Residents did not express any concerns regarding abuse, neglect, discrimination or breaches of privacy.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five residents and two staff who identify as Maori. The organisation has comprehensive policies in relation to information about Maori beliefs in relation to illness, the Te whare tapa wha model of health and an outline of cultural belief experiences in relation to health in the context of Aotearoa New Zealand. The service has a Maori health plan in place which was reviewed. A cultural team is available to the organisation for advice and education as needed. The individual cultural values and beliefs are identified in the care plan. Staff interviewed demonstrated knowledge of individual resident and whanau values and beliefs and the significance of whanau involvement if possible. Many of the residents do not have close whanau due their individual circumstances.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cultural safety policy to guide staff. The resident’s individual values and beliefs are recorded in the care plans reviewed including culture and sexual/gender identity. The plans also identify the variety of beliefs that the person may express during psychotic events and how strategies to manage these if they should arise. The resident records evidenced the interRAI assessments and care plans were developed with the resident and family/whanau where relevant. The family members interviewed reported the service more than meets the individual needs of their relatives. Interpreters are used when required. There are residents and staff of varying backgrounds at this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members stated that residents were free from any type of discrimination, harassment or exploitation. All staff interviewed are fully aware of maintaining professional boundaries and this is included in training and in the individual employment agreements sited. Staff are guided by policies and procedures and demonstrated a clear understanding of the process they would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its effective communication with external agencies and the mental health team in the community and at the SDHB. Input is obtained on a referral basis to allied health professionals and/or social services as soon as needed for a resident. Community engagement for residents is important to them and there are no barriers on linking residents with the community. Safety is promoted at all times. The general practitioner interviewed confirmed the service sought prompt and appropriate medical intervention when required and staff were responsive to medical requests. Staff reported they receive management support for external education and access to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January 2018 it was noted that due to Karetu’s ever evolving dynamic with 33 incidents occurring over the previous year involving alcohol consumption by residents a continuous quality improvement was considered and a plan was developed and implemented by the improvement team. A continuous improvement has been awarded to this service for providing an evidenced based project for a pivotal situation which has resulted in a positive outcome for this service and the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are kept well informed about any changes to their relative‘s health status or if any incidents or accidents have occurred. This was supported in residents’ records reviewed. The monthly resident’s meeting provides an opportunity for bringing up any issues. Minutes of meetings were reviewed.  Staff understood the principles of open disclosure. The GP interviewed provided positive comments in respect of communication with staff inclusive of the clinical and facility managers. Interpreter services are accessible and can be arranged with the ADHB if required. Advisors and in-house interpreters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Karetu House business plan 2019 – 2020 is developed and implemented. The business plan outlines the commitment, the mission statement, values and scope of business. Goals are clearly documented. The plan is realistic, achievable and workable for the size of this service. The service has a majority of residents at rest home level of care who also have identified mental health issues. The service caters for and recognises the needs of a significant range of ages, gender mix and cognitive needs of the residents which can be challenging at times.</w:t>
            </w:r>
          </w:p>
          <w:p w:rsidR="00EB7645" w:rsidRPr="00BE00C7" w:rsidP="00BE00C7">
            <w:pPr>
              <w:pStyle w:val="OutcomeDescription"/>
              <w:spacing w:before="120" w:after="120"/>
              <w:rPr>
                <w:rFonts w:cs="Arial"/>
                <w:b w:val="0"/>
                <w:lang w:eastAsia="en-NZ"/>
              </w:rPr>
            </w:pPr>
            <w:r w:rsidRPr="00BE00C7">
              <w:rPr>
                <w:rFonts w:cs="Arial"/>
                <w:b w:val="0"/>
                <w:lang w:eastAsia="en-NZ"/>
              </w:rPr>
              <w:t>Karetu House is owned by Heritage Healthcare Limited and is a family owned and operated company.  Karetu House provides care for up to 43 residents (rest home level care). On the day of audit 42 beds were occupied. There are nine residents under 65 years of age. Eight of the nine residents under 65 years were under the district health board (DHB) long term chronic health care (LTCHC) agreement with the DHB. Respite care is provided. The facility manager (FM) is an experienced manager with over ten years managing this service in this role. The facility manager has a health and mental health services background and reports regularly to the owner/director. The FM attends forums at the ADHB quarterly and two monthly cluster meetings held at various facilities in this region related to management of aged care services. The FM also gains regular updates from an aged care association on current issues and direction in aged care. The day to day clinical operations are overseen by a clinical manager who is a registered nurse (RN) with a current practising certificate.  Staff meetings are held monthly and the monthly meeting form and agenda were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(CM) has recently been appointed to this role (HealthCERT has been advised). The CM has worked previously as a senior registered nurse at this facility and has work experience in the aged care sector and attends industry specific training to maintain the skills and knowledge required for the ARCC. The clinical manager oversees the care provided to residents with the assistance of two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One registered nurse on site is currently certified to complete InterRAI assessments and is maintaining the annual competency with this. The organisation has two other facilities and registered nurses competent with interRAI are able to assist with the assessments as needed. There are four registered nurses in total in this organisation who are fully trained and interRAI competent.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FM is absent is absent the CM is available to cover and is able to carry out all required duties under delegated authority.  The owner/director is always available to assist the CM as required. During absences of the CM, the clinical management is overseen by one of the registered nurses who are experienced in the sector and are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(the audit schedule was reviewed) monitoring of outcomes, clinical incidents including any infections. Quality and risk activities were integrated and co-ordinated for this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quality/staff meetings. Relevant corrective actions are developed and implemented to address any shortfalls. In other areas of day to day service delivery, corrective action plans were developed where the need for service improvements were identified and are reported at the quality committee meetings. The meeting minutes confirm that actions were monitored for implementation and effectiveness before being closed off. A monthly narrative and statistical report on quality and risk matters was confirmed by sighting the minutes of meetings. Minutes from staff meetings showed that discussion and reporting on incidents, infections, safety and restraint matters occurs. All staff interviewed clearly understood the service approach to quality and risk. </w:t>
            </w:r>
          </w:p>
          <w:p w:rsidR="00EB7645" w:rsidRPr="00BE00C7" w:rsidP="00BE00C7">
            <w:pPr>
              <w:pStyle w:val="OutcomeDescription"/>
              <w:spacing w:before="120" w:after="120"/>
              <w:rPr>
                <w:rFonts w:cs="Arial"/>
                <w:b w:val="0"/>
                <w:lang w:eastAsia="en-NZ"/>
              </w:rPr>
            </w:pPr>
            <w:r w:rsidRPr="00BE00C7">
              <w:rPr>
                <w:rFonts w:cs="Arial"/>
                <w:b w:val="0"/>
                <w:lang w:eastAsia="en-NZ"/>
              </w:rPr>
              <w:t>Risk management and occupational health and safety processes were clearly described. The risk management plan was updated annually and identifies all actual and potential business and environmental risks. The sighted hazard register was being maintained and regular environmental inspections were occurring. Residents were being regularly risk assessed using a range of assessment tools including the interRAI assessment tool. The planning and preparedness for emergencies was reviewed.</w:t>
            </w:r>
          </w:p>
          <w:p w:rsidR="00EB7645" w:rsidRPr="00BE00C7" w:rsidP="00BE00C7">
            <w:pPr>
              <w:pStyle w:val="OutcomeDescription"/>
              <w:spacing w:before="120" w:after="120"/>
              <w:rPr>
                <w:rFonts w:cs="Arial"/>
                <w:b w:val="0"/>
                <w:lang w:eastAsia="en-NZ"/>
              </w:rPr>
            </w:pPr>
            <w:r w:rsidRPr="00BE00C7">
              <w:rPr>
                <w:rFonts w:cs="Arial"/>
                <w:b w:val="0"/>
                <w:lang w:eastAsia="en-NZ"/>
              </w:rPr>
              <w:t>At first stage audit and review of policies and procedures confirmed that policy documents are current and cite best practice. The documents are reviewed annually or earlier if required and are controlled in ways to ensure that only the most up to date version is available. Obsolete documents are managed appropriately. A quality system index is maintained, and manuals are available to guide staff. All new documents are reviewed and authorised by the owner/director.</w:t>
            </w:r>
          </w:p>
          <w:p w:rsidR="00EB7645" w:rsidRPr="00BE00C7" w:rsidP="00BE00C7">
            <w:pPr>
              <w:pStyle w:val="OutcomeDescription"/>
              <w:spacing w:before="120" w:after="120"/>
              <w:rPr>
                <w:rFonts w:cs="Arial"/>
                <w:b w:val="0"/>
                <w:lang w:eastAsia="en-NZ"/>
              </w:rPr>
            </w:pPr>
            <w:r w:rsidRPr="00BE00C7">
              <w:rPr>
                <w:rFonts w:cs="Arial"/>
                <w:b w:val="0"/>
                <w:lang w:eastAsia="en-NZ"/>
              </w:rPr>
              <w:t>Staff are provided regular education of health and safety matters and are supported in the workplace to keep themselves free from injury. The FM is familiar with the Health and Safety at Work Act (2015) and has implemented the requirements. There had been no staff injuries that required reporting to Work safe.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adverse event reporting system was a planned and co-ordinated process. Staff document all adverse, unplanned or untoward events on incident forms. These were reported verbally at handover and in the written summary. Incidents are reviewed by the CM and the FM who document follow up actions. A summary of categorised events is submitted to the FM who reports these to the owner/director monthly.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in the sample of records reviewed and by interviews that the GP and staff understand and implement open disclosure practices by acknowledging and notifying events to all relevant parties (for example, relatives and the GP).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essential notification reporting requirements including for any pressure injuries. The FM stated there have been there was one coroner’s case that was open at the previous audit which has since been closed out effectively.  One coroner case this year which is being finalised currently between the DHB and the Coroner’s office (a death certificate has now been provided) for the resident is still ongoing.  Four cases involving the New Zealand Police with no consequences and all low alcohol events have been reported. </w:t>
            </w:r>
          </w:p>
          <w:p w:rsidR="00EB7645" w:rsidRPr="00BE00C7" w:rsidP="00BE00C7">
            <w:pPr>
              <w:pStyle w:val="OutcomeDescription"/>
              <w:spacing w:before="120" w:after="120"/>
              <w:rPr>
                <w:rFonts w:cs="Arial"/>
                <w:b w:val="0"/>
                <w:lang w:eastAsia="en-NZ"/>
              </w:rPr>
            </w:pPr>
            <w:r w:rsidRPr="00BE00C7">
              <w:rPr>
                <w:rFonts w:cs="Arial"/>
                <w:b w:val="0"/>
                <w:lang w:eastAsia="en-NZ"/>
              </w:rPr>
              <w:t>As part of the pre-audit, feedback was sought from the DHB and no issues were raised.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and guidelines for recruitment and staff management comply with legislation and good employment practices. Professional qualifications are validated before commencement of employment. Copies of the RN’s current practising certificates were seen on files. New staff were being recruited according to good employment practices which includes formal interviews, police checking and referee checks. Evidence was sighted in all five personnel records reviewed. The FM and CM have developed and implemented a schedule (sighted) to ensure all appraisals are completed annually as required by the ARC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new staff member engages in a comprehensive orientation programme specific to their role. The programme includes mandatory training and competency assessments in emergency systems. Staff reported that the orientation and induction gave them a good understanding of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learning and development is planned by the clinical manager. The education programme was reviewed. In -service sessions on a range of different topics are scheduled over the year and individual attendance and achievements are documented. All staff have completed first aid and cardio-pulmonary resuscitation on the 18 March 2019. A running record of training attended, and the educational level of each caregiver is recorded. The service also accesses ongoing educational support from the ADHB. The activities coordinator is a diversional therapist and has completed level 4. All care staff are experienced and have completed a New Zealand Qualification Authority (NZQA) education programme to meet the requirements of the provider’s agreement with the ADHB. There are sufficient trained and competent registered nurses who are maintaining their annual competency requirements to undertake interRAI assessments within the organisation. The FM and CM have completed the interRAI management course. Records reviewed demonstrated completion of the required training.  Staff who are authorised to administer medicines were being competency assessed annually.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policy on staff numbers and skill mix which has been implemented for determining staffing levels and skill mix to provide safe service delivery. The policy describes the service approach to staffing the facility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Observation and review of four-week rosters confirmed adequate cover has been provided with staff replaced in any unplanned absences. All staff have been trained in first aid as per the training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of rosters for 2019, and interview with the FM, clinical and care staff, residents and families, confirmed there were sufficient numbers of staff on each duty to meet resident’s needs. Care staff interviewed stated they are offered extra hours when residents needs change. There are adequate care staff allocated to cover the number of residents on each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records sampled for review. Clinical records were current and integrated with general practitioner and allied health service provider records.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an appropriate archiving system. Residents’ records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The information pack contains all the information about entry to the service. A pre-entry screen is completed on all potential referrals, and if Karetu House is unable to accommodate the consumer then the referrer, client and family/whanau are notified at the first opportunity, and an alternative referral is made as required. It is Karetu House’s policy that all referrals are treated within the framework of the Human Rights legislation.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are conducted within the required time frames and signed on entry. The admission agreement clearly outlines services provided as part of the agreement to entry. Relatives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The service uses the DHB’s (yellow envelope) system to facilitate transfer of residents to and from acute care services. There is open communication between all services, the resident and the family. At the time of transition, appropriate information is provided to the person/facility responsible for the ongoing management of the resident. All referrals are recorded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is implemented to ensure that residents receive medicines in a secure and timely manner that meets current legislation, protocols and guidelines. A paper-based management system is used in administration, reviewing, and prescribing. The service uses a pre-packed medication system. All medication packs are checked by the CM on delivery against medication charts every month. Medicines held in stock are checked every month and any expired medicines are returned to the pharmacy promptly. GP conducts three monthly reviews of medication charts.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legislative requirements and checked by two staff for accuracy when administering. The controlled drug register provided evidenced weekly and six-monthly stock checks. Medication is safely stored in locked cupboards and drug trolley. There were no expired medications on site. Two health care assistants were observed administering medication correctly in their respective wings. All staff who administer medicines were assessed as competent and evidence was sighted. There were residents who self-administer lotions and creams and were assessed as competent. Regular monitoring is conducted, and care plans updated. Medication audit was conducted on 10 January 2019 and corrective actions were acted upon.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 site and served in the allocated dining room and residents’ rooms as required. The service employs cooks who work from Monday to Sunday. The menu has been reviewed by a registered dietitian to confirm it is appropriate to the nutritional needs of the residents. There is a four weekly rotating winter and summer menu in place. Hot, cold drinks and snacks are provided for throughout the day and night when needed.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likes and dislikes and is communicated to the kitchen including any recent changes made. Diets are modified as required and the cook confirmed awareness on dietary needs required by the residents. Meals are served warm in sizeable potions required by residents and any alternatives are offered as required. The residents’ weights are monitored monthly and supplements are provided to residents with identified weight loss issues.</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clean, tidy and stocked. Labels and dates are on all containers and records of food temperature monitoring, fridges and freezers temperatures are maintained. Regular cleaning is conducted. The food service was registered under the new food control plan. It was audited by the local council on 24 April 2019 and attained food safety grade A. Menu audit was conducted and results were acted upon.</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interviewed confirmed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policy on decline of entry to the service. Where a potential consumer is declined entry and a meeting is arranged. The reason/s for declining entry is communicated in a timely manner. Where requested, assistance is given to provide the consumer and their family with other options for alternative health care arrangements or residential services. The consumer’s details will be recorded into the Resident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referrals to Karetu House are assessed by the clinical manager and facility manager (FM). Residents have their level of care identified through a needs assessment by the Needs Assessment and Service Coordination (NASC) agency prior to admission. The clinical manager utilises standardised assessment tools to collect residents’ data in consultation with the resident and their relatives where appropriate. Files sampled contained appropriate completed assessment tools and interRAI assessments were reviewed at least six monthly or when there is a change to a resident’s health condition. Cultural, sexuality and intimacy needs are identified, and additional assessments are completed according to the need such as nutritional, continence and pressure assessments. The information gathered is documented and informs the initial care planning process. Data collection is conducted in the resident’s bedroom to maintain privacy.</w:t>
            </w:r>
          </w:p>
          <w:p w:rsidR="00EB7645" w:rsidRPr="00BE00C7" w:rsidP="00BE00C7">
            <w:pPr>
              <w:pStyle w:val="OutcomeDescription"/>
              <w:spacing w:before="120" w:after="120"/>
              <w:rPr>
                <w:rFonts w:cs="Arial"/>
                <w:b w:val="0"/>
                <w:lang w:eastAsia="en-NZ"/>
              </w:rPr>
            </w:pPr>
            <w:r w:rsidRPr="00BE00C7">
              <w:rPr>
                <w:rFonts w:cs="Arial"/>
                <w:b w:val="0"/>
                <w:lang w:eastAsia="en-NZ"/>
              </w:rPr>
              <w:t>A medical assessment is undertaken within five days of admission and medical reviews are completed when resident's condition changes, or three monthly when they are assessed as stable.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focussed, integrated and provide continuity of service delivery. The assessed information is used to generate long term care plans and short-term care plans for acute needs. Goals are specific and measurable, and interventions are detailed to address the desired goals/outcomes identified during the assessment process. Care plans sampled were integrated and included input from the multidisciplinary team. The residents and relatives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met assessed needs and desired goals/outcomes. Significant changes are reported in a timely manner and prescribed orders carried out satisfactorily as confirmed by the GP in the interview conducted. Progress notes are completed every shift by the health care assistants and weekly or where required by the clinical manager. Monthly observations are completed and are up to date. A range of equipment and resources were available, suited to the level of care provided and in accordance with the residents’ needs.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planned by the diversional therapist (DT) in consultation with the clinical manager and facility manager respectively. The DT works three days a week and other days are filled in by health care assistants and volunteers.  A monthly planner is posted on the notice boards that are accessible to residents and they are individually reminded every morning. Activities reflect residents’ goals, ordinary patterns of life and include normal community activities. Residents and their family/whanau are consulted in the activities assessment and planning process. There is a wide range of activities offered, including: bingo; quiz; music sessions; walking groups; Tia chia, memory games; gardening and housie. External entertainers are invited, church, mobile library and music groups. Van outings are conducted twice a week to areas of interest. Attendance is noted on handover sheets. The residents’ activities needs are evaluated by the DT in consultation with the clinical manager and the RN who completes interRAI assessments six-monthly.</w:t>
            </w:r>
          </w:p>
          <w:p w:rsidR="00EB7645" w:rsidRPr="00BE00C7" w:rsidP="00BE00C7">
            <w:pPr>
              <w:pStyle w:val="OutcomeDescription"/>
              <w:spacing w:before="120" w:after="120"/>
              <w:rPr>
                <w:rFonts w:cs="Arial"/>
                <w:b w:val="0"/>
                <w:lang w:eastAsia="en-NZ"/>
              </w:rPr>
            </w:pPr>
            <w:r w:rsidRPr="00BE00C7">
              <w:rPr>
                <w:rFonts w:cs="Arial"/>
                <w:b w:val="0"/>
                <w:lang w:eastAsia="en-NZ"/>
              </w:rPr>
              <w:t>Monthly residents’ meetings are conducted, and outcomes are implemented and communicated to family/whanau and residents. A newsletter is published every month and is given to residents and family/whanau. Monthly DT support groups are conducted and involves personnel from other facilities. Interviewed residents and family members reported satisfaction with the activities programme. Residents were observed participating in a variety of activities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interRAI assessments and activity plans are evaluated at least every six months and updated when there are any changes. Family/whanau, residents and staff are consulted in the review process. The evaluations record how the resident is progressing towards meeting their goals and responses to interventions. Short term care plans are developed when needed,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Residents are supported to access or seek referral to other health and/ or disability service providers. The service utilises a standard referral form when referring residents to other service providers. Copies of referrals were sighted in residents’ files reviewed. The GP confirmed that processes are in place to ensure that all referrals are followed up accordingly. Resident and family are kept informed of the referrals made by the service. All referrals are facilitated by the CM or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contained clear descriptions about disposal methods for all types of hazardous and domestic waste. The policy includes the use of protective clothing and equipment and reporting of spills incidents. A spills kit is available. The laundry and sluice were observed to be in a tidy and hygienic condition. The hazard register was current. Household waste is collected by the local council once a week and the service has a contract with a designated company which collects recycled rubbish every Tuesday and every second Monday. Review of staff training records and interviews with staff who carry out cleaning and laundry duties confirmed that regular training and education on the safe and appropriate handling of products and waste occurs. Visual inspection throughout the facility and observations of staff during both audit days reveals that protective clothing and equipment (for example, gloves, plastic aprons, footwear, and masks) 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was safe and fit for purpose and well maintained. Handrails were installed in corridors, showers and toilets to promote safe mobilisation. All external areas inspected were safe and surfaces were paving services were level at the rear of the property. Shade sails and umbrellas are available in the summer months or if needed for the external courtyard.  A ramp was available, and the front deck was covered and residents were seen to sit out on this area during the day. There was a caring and homely atmosphere observed in the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equipment such as sphygmomanometer, scales and other equipment were checked and calibrated annually. The biomedical equipment performance verification report was reviewed dated 28 November 2018. Electrical testing was completed 23 November 2018.  Staff and residents confirmed they knew the processes they should follow if any repairs or maintenance is required. Any request is appropriately actioned by the maintenance personal interviewed. </w:t>
            </w:r>
          </w:p>
          <w:p w:rsidR="00EB7645" w:rsidRPr="00BE00C7" w:rsidP="00BE00C7">
            <w:pPr>
              <w:pStyle w:val="OutcomeDescription"/>
              <w:spacing w:before="120" w:after="120"/>
              <w:rPr>
                <w:rFonts w:cs="Arial"/>
                <w:b w:val="0"/>
                <w:lang w:eastAsia="en-NZ"/>
              </w:rPr>
            </w:pPr>
            <w:r w:rsidRPr="00BE00C7">
              <w:rPr>
                <w:rFonts w:cs="Arial"/>
                <w:b w:val="0"/>
                <w:lang w:eastAsia="en-NZ"/>
              </w:rPr>
              <w:t>The current Building Warrant of Fitness expires on 15 June 2020 and is framed and displayed at the entrance to the rest home.</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reported satisfaction with the environment at Karetu House.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ten (10) shared rooms with approximately four ensuites. There are 23 bedrooms with no ensuites. All bedrooms have hand basins and are in close proximity to toilets and bathrooms. Inspection of all bathrooms and toilets showed these were in good condition, were accessible with easy to clean walls and floor surfaces. Approved handrails are in place to assist residents with poor mobility and to promote resident independence. Hot water temperatures were monitored monthly and evidenced acceptable temperatures determined by the building regulations 1992 to minimise risk of scalding/burning.  Review of the records for 2019 and hand testing at tap sites reveals temperatures are at or below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staff/visitor toilets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of the bedrooms viewed provided space for staff to move freely within their bedrooms safely with plenty of room to accommodate walking aides and other mobility equipment. All residents ’rooms were personalised with furnishings, photos, furniture of their choice and other personal items. There was screening between the beds in the bedrooms being shared. All the beds provided were in good condition.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lounge/dining area which is used for functions and/or activities the rest home. There is adequate space so lounge, dinging and activities do not impact on each other. There is a smaller quiet lounge/whanau room with comfortable seating and a games and other activities are accessible. Residents interviewed said they were very happy with the range of spaces available to them. All furniture is safe and suitable for the consumer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dedicated cleaner who works three days a week and other rostered staff cover the additional days. The facility is well maintained and is on visual inspection clean and tidy. The laundry duties constitute part of the healthcare assistants’ duties. The laundry is designed to maximise efficient and safe work flows and linen handling while minimising any cross contamination. The organisation conducts regular reviews and internal audits of cleaning and laundry services to ensure these are safe and effective. The cleaning schedule was reviewed. The cleaner’s trolley is locked away when not in use. Where improvements can be made these are implemented. The FM provides education and ongoing support and information to staff about safe handling of the products in use and reviews the effectiveness of methods and products use.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maintaining emergency preparedness and management. The emergency management plan continues to be reviewed and updated to ensure it complies with best known practice and statutory requirements. The emergency resources and equipment are regularly checked. Emergency lighting is available. No generator is available on site but can be hired as needed. Emergency processes are known to staff. There was sufficient food, water and personal supplies stored to provide for the maximum number of residents and carers in the event of a power outage and to meet the requirements of the local council. Food and water stores are inspected and checked off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agreement also exists with other care facilities in the organisation for transfer of residents if the buildings are uninhabitable. The fire evacuation approval letter from the New Zealand Fire Service (NZFS) reviewed was dated 15 June 1993. The NZFS attends and observes at least one of the six-monthly trial fire evacuations each year. The most recent fire drill occurred on 29 May 2019 with a good staff attendance. Records are maintained. Outcomes and learning from these exercises are documented and used to improve protocols.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Staff check the facility each shift and several times on the afternoon and night shifts. Sensor lights are installed outside the home. There had been no security issues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home is centrally heated with two gas units being available. These provide warmth and cooling in the summer in the rest home. The FM confirmed that the heating systems were running smoothly. The home had sufficient doors and external opening windows for ventilation. All bedrooms had good sized external opening windows which are designed and installed to be secure. The residents and relatives interviewed confirmed that internal temperatures and ventilation are comfortable during summer and winter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programme to minimise the risk of infection to residents, staff and visitors. The CM is the designated infection control coordinator (ICC), whose role and responsibilities are defined in a job description. ICC has access to external specialist advice from a GP and DHB infection control specialists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are reviewed annually and is incorporated in the monthly meetings and a review of the education programme is conducted. Staff are made aware of new infections through daily handovers on each shift and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residents, staff and visitors to use. There have been no outbreaks documented since the last audit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The ICC is responsible for implementing the infection control programme and indicated there are adequate human, physical, and information resources to implement the programme. Infection control reports are discussed at the staff meetings. The ICC has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 the requirements of the infection prevention and control standards and current accepted good practice. Policies and procedure were reviewed. Care delivery, cleaning, laundry and kitchen staff were observed following organisational policies, such appropriate use of hand-sanitisers, good hand washing technique and use of disposable aprons and gloves. Hand washing facilities and sanitiser dispensers are readily available around the facility. Staff demonstrated knowledge on the requirements of standard precautions and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other external specialist consultants. The ICC attended an infection prevention and control training in the previous year. A record of attendance is maintained and was sighted. The training education is detailed and meets best practice and guidelines. Residents are reminded on infection control practices during residents’ meetings or as when required. External contact resources include: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implemented. Quarterly reports are completed and compared with previous year’s site infection rates. New infections and any required management plans are discussed at handover, to ensure early interventions occurs. The GP is informed within the required time frame when a resident has an infection and appropriate antibiotics are prescribed to combat the infection respectively. Surveillance programme is reviewed during the infection control programme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Restraint is only used as a last resort and staff receive adequate training to enable them to make informed decisions. All staff receive education regarding restraint minimisation and management of challenging behaviours and latest training was conducted on 11 June 2019 and 14 staff attended. Staff interviewed understood the difference between a restraint and enabler. The service currently has no residents using restraint or enablers. A restraint register is in place if needed.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7107"/>
        <w:gridCol w:w="42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project was initiated due to a significant increase in incidents occurring due to consumption of alcohol either on site or in the community. This increase in incidents was a significant issue for the service provider as this had not occurred in the past. Discussion and consultation occurred with collaboration of external agencies such as ADHB social work team, mental health services for older persons, NASC, the New Zealand Police alcohol harm prevention team, staff at Karetu, the GP, DT and the Karetu cultural team and other services as applicable. Associated issues included continence issues, hygiene, cleanliness and management of these residents. Anomalies ascertained included residents had access to too much money, non-compliant EPOAs, spousal enabling, co-dependence and personalities of residents. The rights of residents were also taken into consideration at all times. What worked was to develop and implement an alcohol management policy. Restrict finances (no money – no booze), management of the intoxicated resident (monitoring forms were introduced), instigated new rules – no alcohol on the premises, increased education for staff on intoxication and use of a breathyliser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this project implementing additional support and services to meet the needs of residents with alcohol related diagnoses is rated beyond the expected full attainment. The service’s approach and philosophy of managing this significant issue addressed gained positive results in the reduction of incidents related to alcoholism, and challenging behaviour due to alcohol. The rights of the resident were upheld though some residents had to be referred to other services. With a culturally appropriate model of care and philosophy improvement was measured through number of incidents, staff, resident, and family satisfaction and improvement in management strategies, health and wellness of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Healthcare Limited - Karetu House</w:t>
    </w:r>
    <w:bookmarkEnd w:id="58"/>
    <w:r>
      <w:rPr>
        <w:rFonts w:cs="Arial"/>
        <w:sz w:val="16"/>
        <w:szCs w:val="20"/>
      </w:rPr>
      <w:tab/>
      <w:t xml:space="preserve">Date of Audit: </w:t>
    </w:r>
    <w:bookmarkStart w:id="59" w:name="AuditStartDate1"/>
    <w:r>
      <w:rPr>
        <w:rFonts w:cs="Arial"/>
        <w:sz w:val="16"/>
        <w:szCs w:val="20"/>
      </w:rPr>
      <w:t>18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