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Kingswood Healthcare Matamata Limited - Kingswood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Kingswood Healthcare Matamata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Kingswood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July 2019</w:t>
      </w:r>
      <w:bookmarkEnd w:id="7"/>
      <w:r w:rsidRPr="009418D4">
        <w:rPr>
          <w:rFonts w:cs="Arial"/>
        </w:rPr>
        <w:tab/>
        <w:t xml:space="preserve">End date: </w:t>
      </w:r>
      <w:bookmarkStart w:id="8" w:name="AuditEndDate"/>
      <w:r w:rsidR="00A4268A">
        <w:rPr>
          <w:rFonts w:cs="Arial"/>
        </w:rPr>
        <w:t>4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Kingswood Rest Home Matamata provides rest home and dementia level care for up to 41 residents. </w:t>
      </w:r>
    </w:p>
    <w:p w:rsidRPr="00A4268A">
      <w:pPr>
        <w:spacing w:before="240" w:line="276" w:lineRule="auto"/>
        <w:rPr>
          <w:rFonts w:eastAsia="Calibri"/>
        </w:rPr>
      </w:pPr>
      <w:r w:rsidRPr="00A4268A">
        <w:rPr>
          <w:rFonts w:eastAsia="Calibri"/>
        </w:rPr>
        <w:t xml:space="preserve">This recertification audit was conducted against the New Zealand Health and Disability Services Standards and the provider’s contract with the Waikato District Health Board (WDHB). </w:t>
      </w:r>
    </w:p>
    <w:p w:rsidRPr="00A4268A">
      <w:pPr>
        <w:spacing w:before="240" w:line="276" w:lineRule="auto"/>
        <w:rPr>
          <w:rFonts w:eastAsia="Calibri"/>
        </w:rPr>
      </w:pPr>
      <w:r w:rsidRPr="00A4268A">
        <w:rPr>
          <w:rFonts w:eastAsia="Calibri"/>
        </w:rPr>
        <w:t>The managing director advised there had been no significant changes since the partial provisional audit in October 2018 which reconfigured the scope of services to include rest home level care.</w:t>
      </w:r>
    </w:p>
    <w:p w:rsidRPr="00A4268A">
      <w:pPr>
        <w:spacing w:before="240" w:line="276" w:lineRule="auto"/>
        <w:rPr>
          <w:rFonts w:eastAsia="Calibri"/>
        </w:rPr>
      </w:pPr>
      <w:r w:rsidRPr="00A4268A">
        <w:rPr>
          <w:rFonts w:eastAsia="Calibri"/>
        </w:rPr>
        <w:t xml:space="preserve">The resident’s, their family members, allied health professional and a general practitioner interviewed expressed their satisfaction with the care and quality of services provided. </w:t>
      </w:r>
    </w:p>
    <w:p w:rsidRPr="00A4268A">
      <w:pPr>
        <w:spacing w:before="240" w:line="276" w:lineRule="auto"/>
        <w:rPr>
          <w:rFonts w:eastAsia="Calibri"/>
        </w:rPr>
      </w:pPr>
      <w:r w:rsidRPr="00A4268A">
        <w:rPr>
          <w:rFonts w:eastAsia="Calibri"/>
        </w:rPr>
        <w:t xml:space="preserve">There were no areas requiring improvement identified during this audit. Activities was rated as an area of continuous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their families or enduring power of attorney (EPOA) of Kingswood Rest Home.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When complaints have been received, these are investigated, and the information related to these is recorded. Residents and their families said they had been informed about the complaint management process and felt supported to raise any concerns.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Senior management are maintaining frequent and clear communication with all staff. There is always a qualified and experienced manager available. The quality and risk management systems are well established, and service delivery was being regularly monitored. Adverse events were being reliably reported and investigated to determine cause and prevention. People impacted by an adverse event were notified. The operator understands the obligation to make essential notifications and actions this when required. </w:t>
      </w:r>
    </w:p>
    <w:p w:rsidRPr="00A4268A">
      <w:pPr>
        <w:spacing w:before="240" w:line="276" w:lineRule="auto"/>
        <w:rPr>
          <w:rFonts w:eastAsia="Calibri"/>
        </w:rPr>
      </w:pPr>
      <w:r w:rsidRPr="00A4268A">
        <w:rPr>
          <w:rFonts w:eastAsia="Calibri"/>
        </w:rPr>
        <w:t>Staff were being recruited and managed effectively. Staff training in relevant subject areas has been occurring regularly. There were adequate number of skilled and experienced staff on site to meet the needs of each resident group.</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Kingswood Rest Home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activities co-ordinators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All internal and external areas were clean, and the building and chattels are well maintained. Electrical equipment is tested as required. Communal and individual spaces are maintained at a comfortable temperature. All external areas are accessible and safe for residents’ use. </w:t>
      </w:r>
    </w:p>
    <w:p w:rsidRPr="00A4268A">
      <w:pPr>
        <w:spacing w:before="240" w:line="276" w:lineRule="auto"/>
        <w:rPr>
          <w:rFonts w:eastAsia="Calibri"/>
        </w:rPr>
      </w:pPr>
      <w:r w:rsidRPr="00A4268A">
        <w:rPr>
          <w:rFonts w:eastAsia="Calibri"/>
        </w:rPr>
        <w:t>Waste and hazardous substances are well-managed. Staff use protective equipment and clothing. Laundry is undertaken onsite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Residents reported a timely staff response to call bells.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provider has a philosophy and practice of no restraint. There were no restraints or enablers in use on the days of the audit. Staff attend regular training about maintaining a restraint free environment. Policy and procedures met the requirements of this standard and are readily available if restraint is required.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2"/>
        <w:gridCol w:w="1280"/>
        <w:gridCol w:w="98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Kingswood Rest Home Matamata (Kingswood)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at Kingswood understand the principles and practice of informed consent. Informed consent policies provided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All residents’ files reviewed in the secure unit have an enduring power of attorney (EPOA) in place and activated or a court appointed welfare guardian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at Kingswood, residents and residents’ family members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Kingswood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contained one complaint received since the previous audit.  This had been managed according to the policy and procedures and in accordance with Right 10 of the Code. Complaints forms were available at the entrance, with information given on the complaints process as part of the admission process. Families report they are encouraged to provide feedback or make a complaint. The complaints processes are audited as part of the quality internal auditing programme.</w:t>
            </w:r>
          </w:p>
          <w:p w:rsidR="00EB7645" w:rsidRPr="00BE00C7" w:rsidP="00BE00C7">
            <w:pPr>
              <w:pStyle w:val="OutcomeDescription"/>
              <w:spacing w:before="120" w:after="120"/>
              <w:rPr>
                <w:rFonts w:cs="Arial"/>
                <w:b w:val="0"/>
                <w:lang w:eastAsia="en-NZ"/>
              </w:rPr>
            </w:pPr>
            <w:r w:rsidRPr="00BE00C7">
              <w:rPr>
                <w:rFonts w:cs="Arial"/>
                <w:b w:val="0"/>
                <w:lang w:eastAsia="en-NZ"/>
              </w:rPr>
              <w:t>The GM stated there had been no complaints made to the Office of the Health and Disability Commissioner.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confirmed that the services they receive from Kingswood is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in the rest home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in the secure unit are a mix of single, double or triple rooms. Privacy is maximised in shared rooms, with adequate curtaining in place. All residents in shared rooms have had consultation with family members to gain consent for the arrangement, however at time resources do not afford a choice of room. Every effort is made to ensure compatibility and appropriateness of the arrangement between shared residents is evaluated. The option to move to a single room is made available if requested, when a single room is available, or the situation dictates it would be of benefit to the resident. Several quiet, low stimulus spaces around the facility enable residents’ space for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and several staff at Kingswood at the time of audit who identified as Māori.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Kingswood and residents’ family members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interviewed stated that residents were free from any type of discrimination, harassment or exploitation and felt safe. The regular general practitioner (GP) was away and unavailable for interview, however another GP who relieves at Kingswood, and a nurse practitioner (NP) who advises to Kingswood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Kingswood encourages and promotes good practice through evidence-based policies, input from external specialist services and allied health professionals, for example, the nurse practitioner (NP), infection control nurse specialist, wound care specialist, community dieticians, mental health services for older people, and education of staff. The relief GP confirmed the service sought prompt and appropriate medical intervention when required and were responsive to medical requests. The NP supports Kingswood in assisting them to provide quality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opportunities. The service is committed to a philosophy of care that fosters an attitude of how to communicate and how to care, with an attitude of unconditional love. Ongoing education to support this philosophy continues.</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an ongoing initiative aimed at a commitment to improving the quality of lives (refer criteria 1.3.6.1 and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Waikato District Health Board (WDHB) when required. Staff would seek guidance from the general manager if this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company Kingswood Health Care Limited, keeps current an overarching strategic/business and risk plan for the two facilities it operates. There are separate goals for each facility. The documents reviewed and interviews with one of the managing directors confirmed that progress against goals and other operational matters are addressed at monthly directors’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35 residents on site. The service can accommodate a maximum of 41 residents. Thirteen of the 16 available rest home beds were occupied and 22 of the 25 dementia beds were occupied. There was one resident under the age of 65 years in the rest home for seven-day respite care and one resident in the dementia unit under the age of 65 years being funded under the Age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One of the managing directors fills the role of GM and is responsible for day to day operations and oversight of care provided at each facility. They stated they aim to spend 50% of their time at each site during the week. This person confirmed they attend ongoing performance development in subject areas related to management. They have ongoing liaison with other age care providers in the area and regular contact with relevant DHB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administration officer/caregiver takes on the management role in temporary absences of the manager, with support from the RN. The administration officer attends ongoing education on the management of aged care services. The administration officer and RN demonstrated knowledge of their responsibilities during temporary absences of the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includes collection and monthly analysis of quality data. Graphs with month by month statistics recording the number of falls, skin tears, bruises, behavioural challenges, property incidents, staff injury and medicine errors along with a narrative summary which are printed and displayed in staff areas. Policies and procedures are updated as required to meet known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confirmed they are consulted about any proposed changes in service and are being kept informed at regular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Any events are communicated at handover, and unwanted trends are discussed at monthly staff meetings. There is documented evidence of corrective actions on incident/accident reports, on the internal audit tools where a deficit or gap is identified, in the hazards register, and in complaints documentation. The service also completes quality improvement plans when service deficiencies or opportunities to improve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annual quality plan, business plan and associated emergency plans, document actual and potential risk to the business, service delivery, staff and/or visitors’ health and safety. Health and safety policies are compliant with the current legislation and interviews confirmed that the owners understood their obligations. Environmental risks are communicated to visitors, staff and consumers as required through notices, or verbally, depending on the nature of the risk. </w:t>
            </w:r>
          </w:p>
          <w:p w:rsidR="00EB7645" w:rsidRPr="00BE00C7" w:rsidP="00BE00C7">
            <w:pPr>
              <w:pStyle w:val="OutcomeDescription"/>
              <w:spacing w:before="120" w:after="120"/>
              <w:rPr>
                <w:rFonts w:cs="Arial"/>
                <w:b w:val="0"/>
                <w:lang w:eastAsia="en-NZ"/>
              </w:rPr>
            </w:pPr>
            <w:r w:rsidRPr="00BE00C7">
              <w:rPr>
                <w:rFonts w:cs="Arial"/>
                <w:b w:val="0"/>
                <w:lang w:eastAsia="en-NZ"/>
              </w:rPr>
              <w:t>Review of staff meeting minutes showed that health and safety matters are discussed.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reliably documenting all adverse and near miss events on an accident/incident form. A sample of incidents forms reviewed showed these were fully completed, incidents were investigated, action plans developed and actions followed-up in a timely manner.  Adverse event data was being collated, analysed and reported to staff and the managing director each month.  The collated results and a narrative summary are displayed in the staff room. Staff said they are informed about all events during their shift handover and through the staff communication book. Review and meeting minutes and interviews confirmed that staff participate in discussions about incident and accidents and how to prevent these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The RN, GM/managing director and administrator demonstrated understanding and knowledge about essential notification reporting requirements.   There has been no notifications made to the Ministry of Health or DHB since the commencement of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and contractors who require an annual practising certificate (APC) have these validated at the  time of employment and annually. A register is maintained of when APCs and competency assessments are due. Copies of APCs were sighted for the staff who require them and for the GP, pharmacist and podiatrist.  Staff files evidenced appropriate processes are implemented for the recruitment, employment and orientation of new staff. All new staff undertake an orientation that includes the essential components of service delivery and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required to complete a ‘Spark of Life’ course and are required to demonstrate the philosophies of the resident centred care, as well as the Kingswood Healthcare’s philosophy.  All staff who have worked at the service for longer than six months have completed the dementia unit standards, with newer staff now enrolled in the Careerforce and on target to complete these within the 18 month timeframe stipulated in the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trained in and was maintaining competency with the interRAI assessment tool which is used to determine resident’s needs and to inform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The sample of staff records reviewed and interviews with all staff confirmed that each person engages in an annual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 ongoing education programme meets contractual requirements for the delivery of care to older residents and those living with cognitive impairment. Attendance records are maintained to evidence the implementation of the ongoing education programme. Staff reported they have access to both external and in-service education. The in-service education includes training specific to dementia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clearly documented policy on staffing levels and skill mix to meet the needs of residents requiring secure dementia level of care and rest home care. There is an RN on duty four days a week. The on-call RN roster is shared with the RN and GM. There is at least two caregivers on duty each shift and there is an additional caregiver on duty at the ‘sun downing’ times. All staff members are maintaining their first aid certificates, so there is at least one staff member on duty each shift with current first aid qualifications. There are appropriate staffing level for activities, cooking, cleaning, administration and property maintenance. Staff confirmed they have adequate time to do their required work and all staff assist in implementing meaningful activities for the residents throughout their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Kingswood when they have been assessed and confirmed by the local Needs Assessment and Service Coordination (NASC) Service as requiring the services provided by Kingswood. Specialists referral for residents receiving care in the secure unit was sighted. Prospective residents and/or their families are encouraged to visit the facility prior to admission and meet with the GM or RN.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on the 21 September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Matamata District Council. A verification audit of the food control plan was undertaken 14 March 2019, with an acceptable outcome. The food control registration expires 2 May 2020.</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resident’s family members interviewed, satisfaction surveys and resident meeting minutes. Any areas of dissatisfaction were promptly responded to.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Two residents from the secure unit who disrupt others at mealtime are given their meals at a different time to others, to promote a pleasurable eating experience for all residents. Medication is not dispensed at mealtimes in the secure unit, to minimise the potential association between medications and mealtimes, and to also enhance a pleasurable eating experience. There are enough staff on duty in the dining rooms at mealtimes to ensure appropriate assistance is available to residents as needed. Residents in the secure unit have access to snacks and meals at any time day or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by Kingswood and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GM.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Kingswood are initially assessed using a range nursing assessment tools, such as a pain scale, falls risk, skin integrity, behavioural,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In all files reviewed initial assessments were completed as per the policy and within 24 hours of admission. InterRAI assessments were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Residents in the secure unit have comprehensive assessments in regard to behaviours that challenge.</w:t>
              <w:br/>
              <w:br/>
              <w:t>All residents have current interRAI assessments completed by one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at Kingswood reflected the support needs of residents, and the outcomes of the integrated assessment process and other relevant clinical information. The needs identified by the interRAI assessments are reflected in the care plans reviewed. Behaviour management plans of residents in the secure unit, included triggers, strategies to deescalate and interventions to manage episodes of behaviours that challenge. Staff were observed to promptly respond to potential events before they escalated.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at Kingswood was consistent with their needs, goals and the plan of care. The attention to meeting a diverse range of resident’s individualised needs was evident in all areas of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Kingswood is provided by two activity co-ordinators, with oversight from a qualified dementia activities practitioner. The programme operates within a philosophy of a ‘gentle, practical and celebratory approach to human relationships and communication’. Residents join clubs and enjoy specific stimulation sessions to awaken memories and skills. The clubs have small groups that operate on an equal level. For the residents of the secure unit, these groups provide a haven where the residents can experience success. This boosts their self-confidence and enhances their ability to communicate.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twenty-four-hour activity plan is in place for residents of the secure unit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 involvement in a large range of community activities. Individual, group activities and regular events are offered. Examples included exercise sessions, singing and newspaper reading, visiting school groups and entertainers. The rest home programme includes residents assisting with the daily chores. Home baking is an activity that occurs in the rest home every morning and afternoon, and the smell of freshly cooked home baking wafts through the building. Residents also assist with dishes, laying tables, cleaning and folding laundry, wherever these activities were a daily part of the resident’s previous lifestyle patterns. Residents in the secure unit have an adaptable programme based on residents’ moods. Small groups and individual sessions operate daily. A large range of outings occur to several community events or places of interest. The men attend the men’s club each Friday and engage in making wooden items. A monthly newsletter keeps families and residents up to date with past and present events. Photos capture the reality of resident’s pleasures and participation.</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meetings and indicated residents’ input is sought and responded to. A lack of participation and interest in the meetings however, was an area identified as requiring improvement. An initiative was implemented aimed at improving attendance and participation of residents and families at residents’ meetings. The success of this initiative is an area identified as one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Resident and resident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Kingswood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Chemical and hazardous substances were securely stored in the laundry. Hazardous substances were correctly labelled and contained precautions for use and safety instructions. Material safety data sheets for all the chemicals in use were available in all areas of the facility. Staff follow procedures for the safe storage and disposal of waste.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Personal protective equipment (PPE) is available and staff were observed to be using this appropriately. Cleaning/laundry staff have ongoing training on waste management, the use of chemicals and infection prevention and control. Staff demonstrated knowledge in the use of PPE and the management of waste.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and the buildings, chattels and furniture were in good condition.  There is a systematic renovation and maintenance programme in place for both the rest home and dementia unit.  Medical and moving equipment is checked regularly and where required is calibrated annually. The electrical equipment is test and tagged.  The specialist dementia unit is designed to allow residents to wander freely and safely with access to secure gardens by ramps off the lounge and corridors. All external areas for residents in both buildings were observed to be safe and suitable with adequate seating and shelter from sun and rain.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expressed high satisfaction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bedrooms in the rest home have a shared ensuite with toilet and shower, and one bedroom has an ensuite bathroom solely for their use. Otherwise residents use the communal bathrooms which are readily accessible.  There were three lots of toilets and showering facilities located throughout the dementia unit which are clearly identified. The surfaces in the amenities are intact for ease of cleaning and infection prevention and control. Separate toilet facilities are available for staff and visitors. Families reported satisfaction with the toilets and showers at the service.  Hot water temperatures are monitored monthly. Records showed that temperatures were in the required ranges. A resident with vision impairment spoke highly about the way staff assisted them with personal hygiene and said they had never had their privacy or dignity so well attended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are spacious with sufficient room for furniture, mobility equipment, manoeuvring and residents’ personal items. Seven of the 13 bedrooms in the dementia unit are shared by residents of the same gender and consent and agreement for this had been obtained. Two rooms are occupied by three residents and five rooms are shared by two residents. All are separated by privacy curtains. Six bedrooms are single occupancy. The rest home has sixteen single occupancy rooms. Residents and families reported satisfaction with the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dining and lounge areas are in separate areas in the dementia wing. The rest home has a small lounge within the open dining area and another lounge nearby. Activities in each of these spaces does not impact on residents who do not want to participate. Families, residents and staff reported satisfaction with the lounge, dining and recreational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and cleaning equipment storage areas are located in the dementia wing but are secure and not accessible by the residents. Care staff carry out personal laundry and the housekeeper is responsible for cleaning and large loads of washing. There are regular checks and support from the chemical supplier who provides a monitoring report about the effectiveness of the chemicals and equipment in use in the laundry and kitchen. The cleaning schedule includes daily and weekly tasks. The GM conducts regular cleaning and laundry audits. All areas were clean during the audit and there had been no issues with the laundry services provided. Rest home residents were happy with cleaning and laundry services and family satisfaction surveys sighted showed positive feedback about housekeeping.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fire service approved evacuation scheme. Three monthly fire evacuation drills were occurring with the last drill conducted in April 2019.  These are attended by the contracted fire security company who visit monthly to check the fire suppression system and exits. Records reviewed and interviews confirmed that the emergency system is effective in managing people with dementia.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showed that all staff attend mandatory training and education for management of emergency situations. Visual inspection of the emergency, first aid and outbreak kits revealed these were being well maintained. There were sufficient supplies of food and water stored for use in the event of a civil defence emergency, in quantities that meet the Ministry of Civil Defence requirements for the region.  An onsite generator is also available for emergency power supply.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call bells in the dementia unit, except for a staff initiated emergency call system to summon other staff for help. The rest home had a functioning call bell system and residents said staff respond to these quickly.  Sensor mats are used as required to alert staff when a resident is getting out of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Night-time security is carried out according to a documented checklist. Security cameras are located in the dementia unit common areas and external spaces, with the monitoring station in the manager’s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areas and bedrooms were adequately heated and ventilated. There is central heating throughout the buildings and additional wall mounted electric heaters. All resident areas have at least one external window or glass door for natural light and ventilation. The service adheres to a no smoking policy and provides an outdoor covered designated area for residents who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Kingswood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GM and the infection control co-ordinator (ICC).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the designated ICC, whose role and responsibilities are defined in a job description. Infection control matters, including surveillance results, are reported monthly to the GM and tabled at the quality/risk/staff meeting. Infection control statistics are entered in the organisation’s infection database.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has undertaken training in infection prevention and control and attended relevant study days, as verified in training records sighted. Well-established local networks with the infection control team at the DHB are available and expert advice is also available from an external infection control advisory company.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Policies were reviewed within the last year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Kingswood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and practice of no restraint use. The organisational policy is congruent with the standards and provides clear guidelines for safe use of restraint if this is ever required. There were no residents using restraint or enablers on the days of audit. Staff records showed that all staff attend ongoing education on restraint minimisation. The RN and staff interviewed demonstrated good knowledge about restraint minimisation and enabler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1"/>
        <w:gridCol w:w="1280"/>
        <w:gridCol w:w="6687"/>
        <w:gridCol w:w="35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March 2019 an initiative was implemented to increase resident/whanau interest, attendance and participation in residents/family meetings at Kingswood.</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three months previous meeting minutes identified minimal attendance and minimal input or discussion on how the residents/whanau found the service and what could be improved. The goal was to enable residents to feel comfortable and confident in expressing their ideas, complaints, concerns, and be enthusiastic about attending.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change to hold two separate meetings, one for the men and one for women. The men’s meeting is held first, then they leave and go to ‘men’s club’. </w:t>
              <w:br/>
              <w:t>The day of the meeting was also changed to enable more family involvement and was scheduled in the morning when residents were less tired. A white board was provided, so residents could visually see items that were being discussed. Colour was used in several ways, to keep residents’ interest.</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attendance records since March has shown an improvement in attendance, in addition to the level of discussion that takes place, as evidenced by the graphed results and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All men are now attending, compared to one male attendee prior to the changes. Both meetings are providing more input from residents, as evidenced by the meeting minutes. All women are now attending and suggestions as to starting a ‘women’s club’ have been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Increased input from residents around what can be improved (eg, milk jugs on each table at breakfast, and clothes to be hung up instead of folded in drawers are evidenced in meeting minutes). Increased family participation and offers of suggestions for events that can be provided is also evident from documented meeting minutes.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initiative aimed at improving attendance and participation of residents and families at residents’ meetings has resulted in increased participation of residents and their families enabling Kingswood the opportunity to respond to resident’s needs.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Kingswood Healthcare Matamata Limited - Kingswood Rest Home</w:t>
    </w:r>
    <w:bookmarkEnd w:id="58"/>
    <w:r>
      <w:rPr>
        <w:rFonts w:cs="Arial"/>
        <w:sz w:val="16"/>
        <w:szCs w:val="20"/>
      </w:rPr>
      <w:tab/>
      <w:t xml:space="preserve">Date of Audit: </w:t>
    </w:r>
    <w:bookmarkStart w:id="59" w:name="AuditStartDate1"/>
    <w:r>
      <w:rPr>
        <w:rFonts w:cs="Arial"/>
        <w:sz w:val="16"/>
        <w:szCs w:val="20"/>
      </w:rPr>
      <w:t>3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