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Te Puke Country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Puke Country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June 2019</w:t>
      </w:r>
      <w:bookmarkEnd w:id="7"/>
      <w:r w:rsidRPr="009418D4">
        <w:rPr>
          <w:rFonts w:cs="Arial"/>
        </w:rPr>
        <w:tab/>
        <w:t xml:space="preserve">End date: </w:t>
      </w:r>
      <w:bookmarkStart w:id="8" w:name="AuditEndDate"/>
      <w:r w:rsidR="00A4268A">
        <w:rPr>
          <w:rFonts w:cs="Arial"/>
        </w:rPr>
        <w:t>26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reduced bed numbers from 81 beds to 72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Te Puke Country Lodge is part of the Bupa group.  The service is certified to provide rest home and hospital level care for up to 81 residents.  Occupancy on the day of audit was 61 residents. Since the previous audit the service has reduced total bed numbers from 81 beds to 72 beds.  The nine beds decommissioned were rest home only beds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care home manager is a social worker who has been in this role since April 2015.  The manager is supported by an assistant manager, a clinical manager and a unit coordinator/RN and a Bupa regional manager.</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use the service, including residents that require hospital/medical, and rest home level care.  Implementation is supported through the Bupa quality and risk management programme that is individualised to Te Puke.  Quality initiatives are implemented which provide evidence of improved services for residents.</w:t>
      </w:r>
    </w:p>
    <w:p w:rsidRPr="00A4268A">
      <w:pPr>
        <w:spacing w:before="240" w:line="276" w:lineRule="auto"/>
        <w:rPr>
          <w:rFonts w:eastAsia="Calibri"/>
        </w:rPr>
      </w:pPr>
      <w:r w:rsidRPr="00A4268A">
        <w:rPr>
          <w:rFonts w:eastAsia="Calibri"/>
        </w:rPr>
        <w:t xml:space="preserve">A comprehensive orientation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This audit identified one shortfall around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Communication is open and families are kept informed.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care home manager is supported by an administration manager, clinical manager, registered nurses, caregivers and support staff.  The quality and risk management programmes are embedded into practice.  Quality activities generate improvements in practice and service delivery.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An education and training programme is implemented with a current plan in place.  Appropriate employment processes are adhered to.  There is a roster that provides sufficient and appropriate staff cover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the provision of care and documentation at every stage of service delivery.  The care plans are resident and goal orientated and reviewed every six months or earlier if required, with input from the resident/family as appropriate.  Files sampled identified that the integration of allied health and a team approach is evident in the overall resident file.  There is a three-monthly general practitioner review.  The activities team implements the activity programme to meet the individual needs, preferences and abilities of the residents.  Community links are maintained.  There are regular entertainers, outings and celebrations.  Medications are managed appropriately in-line with accepted guidelines.  Registered nurses and senior caregivers who administer medications have an annual competency assessment and receive annual education.  Medication charts are reviewed three-monthly by the general practitioner.  Residents' food preferences and dietary requirements are identified on admission and all meals are cooked on site.  This includes consideration of any particular dietary preferences or needs.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Resident rooms are spacious with ensuites and are personalised.  External areas are safe and well maintained.  The facility has a van available for transportation of residents.  There are spacious lounges in the rest home and hospital areas and a large recreation room.  Fixtures fittings and flooring is appropriate and toilet/shower facilities are constructed for ease of cleaning.  Appropriate training, information and equipment for responding to emergencies is provided.  There is an approved evacuation scheme and emergency supplies for at least three days.  A staff member trained in CPR and first aid is on duty at all times.  The facility has ceiling heating in the communal areas and electric panel heaters in the bedrooms.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challenging behaviour management.  On the day of audit there were three residents using restraint and no residents with an enabler.  Restraint management processes are adhered to.</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Bupa quality and risk team supports the infection control coordinator.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280"/>
        <w:gridCol w:w="99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register.  One complaint has been lodged in 2019 (year-to-date).  This complaint included an investigation, timelines determined by HDC were met, and corrective actions were implemented.  This complaint is documented as resolved.  </w:t>
            </w:r>
          </w:p>
          <w:p w:rsidR="00EB7645" w:rsidRPr="00BE00C7" w:rsidP="00BE00C7">
            <w:pPr>
              <w:pStyle w:val="OutcomeDescription"/>
              <w:spacing w:before="120" w:after="120"/>
              <w:rPr>
                <w:rFonts w:cs="Arial"/>
                <w:b w:val="0"/>
                <w:lang w:eastAsia="en-NZ"/>
              </w:rPr>
            </w:pPr>
            <w:r w:rsidRPr="00BE00C7">
              <w:rPr>
                <w:rFonts w:cs="Arial"/>
                <w:b w:val="0"/>
                <w:lang w:eastAsia="en-NZ"/>
              </w:rPr>
              <w:t>One complaint lodged with the Health and Disability Commissioner (HDC) on 9 August 2017 (since the last audit) remains open.  This complaint is being managed by the Bupa clinical services improvement (CSI) team.  Required documentation is held electronically on Riskman and was reviewed during the audit.  Corrective actions have been documented and implemented, which include staff training around communication with families.  No further documentation has been requested and the facility is awaiting direction from HDC.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(four hospital level and two rest home level including one young person with a disability [YPD]) and four relatives (hospital level) interviewed, confirmed that the residents were welcomed on entry.  Residents and relatives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family communication is held in the front of each resident’s file.  Ten incidents/accidents forms selected for review indicated that family were informed following an adverse event.  Relatives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Puke Country Lodge is part of the Bupa group of aged care facilities.  The care facility has a total of 72 beds suitable for rest home (38 beds) and hospital (34 beds) levels of care.  Five hospital level beds are designated as dual-purpose.  Nine beds that were previously certified, located on the lower level, are no longer to be included and have been decommissioned due to accessibility.  The care home manager stated that plans are currently in place to transition these rooms to serviced apartments.  Hospital level of care is certified for medical.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were 61 residents (37 rest home and 24 hospital).  One hospital level resident was receiving respite care and one rest home resident was on a young person with a disability (YPD) contract.  </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All staff are made aware of this vision and values during their induction to the service.  There is a 2019 Bupa business plan that is being implemented.  Two quality (facility-specific) and one health and safety (organisation-wide) goals are documented and reviewed on a monthly basis.  Progress towards goal attainment is discussed in staff meetings.  Goals are updated each year.</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previously was a social worker in mental health services and has been in her role for four years.  She is supported by a clinical manager who qualified as a registered nurse in the UK in 1988, immigrated to New Zealand in 2010 and has held clinical manager roles at two other locations before coming to work at Bupa Te Puke in May 2018.  An assistant manager and a Bupa regional manager support the care home manager and clinical manager.  Only the care home manager was available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being implemented by the service.  Interviews with the care home manager and ten staff (three caregivers, two registered nurses (RNs), one cook, one housekeeper, one maintenance, and two activities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systems being implemented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at the head office.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medication errors, wounds, skin tears, pressure injuries, complaints, challenging behaviours) are collated and analysed with results consistently communicated to staff.  Corrective actions are implemented where data exceeds expected results.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In addition to scheduled monthly internal audits, an annual facility health check was last completed in May 2019.  Areas of non-compliance included the initiation of a corrective action plan with sign-off by the care home manager when corrective actions were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one organisation-wide health and safety goal that is regularly reviewed.  The care home manager is the health and safety officer.  The health and safety team meet once a month.  Staff undergo annual health and safety training which begins during their orientation.  Contractors are required to be inducted into the facility and sign a health and safety information sheet when this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physiotherapy input and intentional rounding.  Residents at risk of falling have a falls risk assessment completed with strategies implemented to reduce the number of falls.  Caregivers interviewed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that is being implemented.  Adverse events are investigated by the clinical manager and/or registered nursing staff, evidenced in all ten accident/incident forms reviewed (one pressure injury, seven falls, and two skin tears) and are held in the electronic database (Riskman).  Adverse events are trended and analysed with results communicated to staff.  There is evidence to support actions are undertaken to minimise the number of incidents.  Clinical follow-up of residents is conducted by a registered nurse.  Unwitnessed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care home manager confirmed her awareness of the requirement to notify relevant authorities in relation to essential notifications with examples provided.  This was sighted for one grade three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 the recruitment and staff selection process.  Relevant checks are completed to validate the individual’s qualifications, experience and veracity.  A register of current practising certificates is maintained for all health professionals.  Six staff files reviewed (four caregivers, one clinical manager, one staff RN) evidenced that reference checks are completed before employment is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The education programme being implemented includes in-service training, competency assessments, and impromptu (toolbox) talks.  Attendance at mandatory in-service training in 2018 meets requirements but over the past six months (2019) has been poor.  This issue is being discussed in staff meetings and a corrective action plan is currently in place to address this issue.  </w:t>
            </w:r>
          </w:p>
          <w:p w:rsidR="00EB7645" w:rsidRPr="00BE00C7" w:rsidP="00BE00C7">
            <w:pPr>
              <w:pStyle w:val="OutcomeDescription"/>
              <w:spacing w:before="120" w:after="120"/>
              <w:rPr>
                <w:rFonts w:cs="Arial"/>
                <w:b w:val="0"/>
                <w:lang w:eastAsia="en-NZ"/>
              </w:rPr>
            </w:pPr>
            <w:r w:rsidRPr="00BE00C7">
              <w:rPr>
                <w:rFonts w:cs="Arial"/>
                <w:b w:val="0"/>
                <w:lang w:eastAsia="en-NZ"/>
              </w:rPr>
              <w:t>Six of seven permanent RNs (including the clinical manager) have completed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Sufficient staff are rostered to manage the care requirements of the residents.  The facility covers two floors.  The clinical manager is a registered nurse with a current practising certificate who is employed full time Monday – Friday.  She was on leave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There are four hospital wings all on one level (nine previous hospital level beds on the ground level have been decommissioned) that were filled with 24 hospital level residents and two rest home level residents.  These wings are staffed with one RN 24/7 with additional (short shift) cover two days a week during doctor rounds.  Four long and two short shift caregivers cover the AM shift, two long and four short caregivers cover the PM shift and two long shift caregivers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rest home wings are located on two levels with elevator and stair access.  Thirty-five residents were living in these two wings on the day of the audit.  These two wings are staffed with two long and two short shift caregivers on the AM shift, two long and one short shift caregiver on the PM shift and two long shift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Two activities staff are scheduled five days a week.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  The care home manager pointed out that recently staffing has been quite difficult to fill due to staff leave.  Caregivers commented that this has been quite stressful for them but that they are coping.  There have been no instances that the care home manager can recall where an RN has not been available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 service utilises two-weekly robotic packs.  There is a medication room in each of the two areas.  The service uses an electronic medication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securely and appropriately stored.  Registered nurses or senior caregivers, who have passed their competency, administer medications.  Medication competencies are updated annually and include syringe drivers, sub cut fluids, blood sugars and oxygen/nebulisers.  Medication charts have photo IDs.  There is a signed agreement with the pharmacy.  Medications are checked on arrival and any pharmacy errors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and two paper-based medication charts and signing charts were reviewed.  All medication signing sheets aligned with the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folders include a list of specimen signatures and competencies.  Two self-medicating resident charts were reviewed, and all included three-monthly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medication profiles reviewed were legible, up-to-date and reviewed at least three-monthly by the GP.  All medication charts reviewed have ‘as needed’ medications prescribed with an individualised indication for use.  The medication round observed was completed correctly as per Bupa policies and procedures.  The medication fridge in each area has temperatures recorded daily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Medication management audits are completed as part of the internal audit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cooks continue to oversee food management and are assisted by a team of kitchen assistants.  The food, fluid, and nutritional needs of residents are provided in line with recognised nutritional guidelines and there is a national menu in place that has been audited and approved by an external dietitian.  The summer menu rotates over a four-week cycle and the winter menu is a six-weekly cycle.  There are policies in place to guide staff.  The food control plan was signed of May 2019.  Food is procured from commercial suppliers.  The majority of food is cooked on site in a large commercial kitchen.  There is sufficient storage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likes and dislikes are known, recorded in the kitchen and alternatives are offered.  The residents have a nutritional profile developed on admission, which identifies dietary requirements and likes and dislikes and is reviewed six-monthly, as part of the care plan review.  Special diets (ie, soft and pureed diets) are noted on the kitchen noticeboard, which can be viewed only by kitchen staff.  Puree meals are served having been shaped into the food they are made from; this is to assist the presentation of the meal and show what the pureed meal is. </w:t>
            </w:r>
          </w:p>
          <w:p w:rsidR="00EB7645" w:rsidRPr="00BE00C7" w:rsidP="00BE00C7">
            <w:pPr>
              <w:pStyle w:val="OutcomeDescription"/>
              <w:spacing w:before="120" w:after="120"/>
              <w:rPr>
                <w:rFonts w:cs="Arial"/>
                <w:b w:val="0"/>
                <w:lang w:eastAsia="en-NZ"/>
              </w:rPr>
            </w:pPr>
            <w:r w:rsidRPr="00BE00C7">
              <w:rPr>
                <w:rFonts w:cs="Arial"/>
                <w:b w:val="0"/>
                <w:lang w:eastAsia="en-NZ"/>
              </w:rPr>
              <w:t>Meals are served from bain maries to the residents in the dining rooms and can be delivered to rooms as required.  Specialist utensils and plates are available for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 annual satisfaction survey monitors food satisfaction.  The kitchen is included in the internal audit programme.  Staff have been trained in safe food handling and chemical safety.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commented positively on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one GP evidenced that care provided is of a high standard and GPs are kept informed.  Family members interviewed stated care and support is good and that they are involved in the care planning.  The six care plans reviewed all documented care interventions to safely manage care.  One respite resident file included an assessment and short-term care plan appropriate to care needs.  One younger person disabled file reviewed included all care interventions, community links and age appropriate activities.  The resident praised the care and activities very highly.  An email from the family identified that they were also very impressed with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stated there is adequate equipment provided, including continence and wound care supplies.  Wound assessment, wound management and evaluation forms are in place, but not always evaluated according to timeframes or have stated timeframes for evaluation.  Access to specialist advice and support is available as needed.  Care plans document allied health input.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well utilised at Bupa Te Puke and examples sighted included (but were not limited to) weight and vital signs, blood glucose, pain, food and fluid, turning charts, behaviour monitoring, syringe driver monitoring and restraint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activity coordinator who is currently completing a qualification in diversional therapy and is supported by an activity assistant who is employed for 37.5 hours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programme, which is reviewed when their plan of care is reviewed and as part of their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activity programme is implemented Monday to Friday between the hours of 9 am to 4 pm in any of the spacious lounges and recreational areas.  The facility has a large library, recreation room and games room.  There are ranges of activities offered.  Individual activities are provided in residents’ rooms or wherever applicable.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the audit, residents were observed being actively involved with a variety of activities.  The group activities programme is developed monthly, a copy of the programme is available on noticeboards and in the monthly newsletter.  The group programme includes residents being involved within the community with social clubs, churches and schools.  Activities included; a monthly men’s group, happy hours, entertainment, knitting groups and the recently added inter-home games.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newly admitted resident on or soon after admission is interviewed by a member of the activities team and a social history taken.  This information is then used to develop a diversional therapy plan, the Map of life and is part of the ‘my day my way’ section of the resident’s care plan, which is then reviewed six-monthly as part of the interRAI and care plan review/evaluation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A record is kept of individual resident’s activities and monthly progress notes completed.  The resident/family/EPOA as appropriate is involved in the development of the activity plan.  Participation in all activities is voluntary.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registered nurses six-monthly, or when changes to care occurred and document progress of achievement towards the desired goal or outcome.  Short-term care plans for short-term needs were evaluated and either resolved or added to the long-term care plan as an ongoing need.  The six-monthly multidisciplinary review involves the RN, GP, activities staff, physiotherapist (if involved) and resident/family.  The family are notified of the outcome of the review by phone call and if unable to attend, they receive a copy of the reviewed plans.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20 October 2019.</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lift between the ground floor and first floor level.  There are hospital and rest home rooms located on the ground floor.  The lift is large enough to allow residents to be transported by wheelchair or ambulance trolley.</w:t>
            </w:r>
          </w:p>
          <w:p w:rsidR="00EB7645" w:rsidRPr="00BE00C7" w:rsidP="00BE00C7">
            <w:pPr>
              <w:pStyle w:val="OutcomeDescription"/>
              <w:spacing w:before="120" w:after="120"/>
              <w:rPr>
                <w:rFonts w:cs="Arial"/>
                <w:b w:val="0"/>
                <w:lang w:eastAsia="en-NZ"/>
              </w:rPr>
            </w:pPr>
            <w:r w:rsidRPr="00BE00C7">
              <w:rPr>
                <w:rFonts w:cs="Arial"/>
                <w:b w:val="0"/>
                <w:lang w:eastAsia="en-NZ"/>
              </w:rPr>
              <w:t>There are proactive and reactive maintenance management plans in place.  The grounds and gardens are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Contracted providers test equipment and this is documented annually.  There are hazard management systems in place to ensure the physical environment minimises risk of harm, promotes safe mobility, aids independence and is appropriate to the needs of the residents and any visitors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w:t>
              <w:br/>
              <w:t xml:space="preserve">A monthly log of infections and short-term care plans are completed for all resident infections.  Infection control data is collated monthly and reported at the quality and risk, monthly infection control and staff meetings.  The surveillance of infection data assists in evaluating compliance with infection control practices, identifying trends and corrective actions/quality initiatives.  There was evidence of toolbox talks following internal audits and any IC related adverse trends.  Infection control data is on display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GPs that advise and provide feedback/information to the service.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three (hospital level) residents using restraint and no residents using an enabler.  The restraint coordinator is a registered nurse.  The RN works the night shift and was unavailable to be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Restraint is discussed as part of staff meetings and in separate restraint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56"/>
        <w:gridCol w:w="1280"/>
        <w:gridCol w:w="8218"/>
        <w:gridCol w:w="1281"/>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wound log and folder for each of the rest home and hospital level care.  There were twelve wounds documented for rest home level including two pressure injuries, both grade two, with one healed and the plan maintained for monitoring purposes.  Other wounds included skin tears, ulcers and skin lesions.  Of the twelve wounds, six had not been evaluated within set timeframes and one did not have evaluation timeframes documented.  The hospital documented 12 wounds (one person has multiple skin tears).  Wounds included two grade two pressure injuries (both healing).  Other wounds included skin tears and ulcers.  Of the 14 wounds; two had not been evaluated within set timeframes and one did not document evaluation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Wound plans did not all document a timeframe for evaluation of the wound and its care.</w:t>
            </w:r>
          </w:p>
          <w:p w:rsidR="00EB7645" w:rsidRPr="00BE00C7" w:rsidP="00BE00C7">
            <w:pPr>
              <w:pStyle w:val="OutcomeDescription"/>
              <w:spacing w:before="120" w:after="120"/>
              <w:rPr>
                <w:rFonts w:cs="Arial"/>
                <w:b w:val="0"/>
                <w:lang w:eastAsia="en-NZ"/>
              </w:rPr>
            </w:pPr>
            <w:r w:rsidRPr="00BE00C7">
              <w:rPr>
                <w:rFonts w:cs="Arial"/>
                <w:b w:val="0"/>
                <w:lang w:eastAsia="en-NZ"/>
              </w:rPr>
              <w:t>(ii). Where timeframes were set, evaluations were not all undertaken according to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wound plans document timeframes for evaluation and dressings.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wound evaluations and care is undertaken according to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Te Puke Country Lodge</w:t>
    </w:r>
    <w:bookmarkEnd w:id="58"/>
    <w:r>
      <w:rPr>
        <w:rFonts w:cs="Arial"/>
        <w:sz w:val="16"/>
        <w:szCs w:val="20"/>
      </w:rPr>
      <w:tab/>
      <w:t xml:space="preserve">Date of Audit: </w:t>
    </w:r>
    <w:bookmarkStart w:id="59" w:name="AuditStartDate1"/>
    <w:r>
      <w:rPr>
        <w:rFonts w:cs="Arial"/>
        <w:sz w:val="16"/>
        <w:szCs w:val="20"/>
      </w:rPr>
      <w:t>26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